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56" w:rsidRDefault="00263456" w:rsidP="00263456">
      <w:pPr>
        <w:jc w:val="center"/>
        <w:rPr>
          <w:rFonts w:ascii="Times New Roman" w:hAnsi="Times New Roman" w:cs="Times New Roman"/>
          <w:sz w:val="28"/>
          <w:szCs w:val="28"/>
        </w:rPr>
      </w:pPr>
      <w:r w:rsidRPr="00A5626D">
        <w:rPr>
          <w:rFonts w:ascii="Times New Roman" w:hAnsi="Times New Roman" w:cs="Times New Roman"/>
          <w:b/>
          <w:sz w:val="28"/>
          <w:szCs w:val="28"/>
          <w:u w:val="single"/>
        </w:rPr>
        <w:t>НАЦИОНАЛЬНОЕ ОБЪЕДИНЕНИЕ СТРОИТЕЛЕЙ</w:t>
      </w:r>
    </w:p>
    <w:p w:rsidR="00263456" w:rsidRDefault="00263456" w:rsidP="0026345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63456" w:rsidRPr="00D31B5B" w:rsidRDefault="00263456" w:rsidP="00263456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31B5B">
        <w:rPr>
          <w:rFonts w:ascii="Times New Roman" w:hAnsi="Times New Roman" w:cs="Times New Roman"/>
          <w:b/>
          <w:sz w:val="32"/>
          <w:szCs w:val="32"/>
        </w:rPr>
        <w:t>Стандарт организации</w:t>
      </w:r>
    </w:p>
    <w:p w:rsidR="00263456" w:rsidRDefault="00263456" w:rsidP="00263456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263456" w:rsidRDefault="00263456" w:rsidP="00263456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Автомобильные дороги</w:t>
      </w:r>
    </w:p>
    <w:p w:rsidR="00263456" w:rsidRDefault="00263456" w:rsidP="00263456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63456" w:rsidRDefault="00263456" w:rsidP="00263456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63456" w:rsidRDefault="00263456" w:rsidP="00263456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63456" w:rsidRDefault="00263456" w:rsidP="00263456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D31B5B">
        <w:rPr>
          <w:rFonts w:ascii="Times New Roman" w:hAnsi="Times New Roman" w:cs="Times New Roman"/>
          <w:b/>
          <w:sz w:val="36"/>
          <w:szCs w:val="36"/>
        </w:rPr>
        <w:t>УСТРОЙСТВО</w:t>
      </w:r>
      <w:r>
        <w:rPr>
          <w:rFonts w:ascii="Times New Roman" w:hAnsi="Times New Roman" w:cs="Times New Roman"/>
          <w:b/>
          <w:sz w:val="36"/>
          <w:szCs w:val="36"/>
        </w:rPr>
        <w:t xml:space="preserve"> ОБСТАНОВКИ ДОРОГИ</w:t>
      </w:r>
    </w:p>
    <w:p w:rsidR="00263456" w:rsidRPr="00381684" w:rsidRDefault="00263456" w:rsidP="0026345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УСТРОЙСТВО МЕТАЛЛИЧЕСКИХ БАРЬЕРНЫХ ОГРАЖДЕНИЙ</w:t>
      </w:r>
    </w:p>
    <w:p w:rsidR="00263456" w:rsidRDefault="00263456" w:rsidP="0026345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63456" w:rsidRDefault="00263456" w:rsidP="0026345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63456" w:rsidRDefault="00263456" w:rsidP="0026345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63456" w:rsidRDefault="00263456" w:rsidP="0026345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63456" w:rsidRDefault="00263456" w:rsidP="0026345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63456" w:rsidRDefault="00263456" w:rsidP="0026345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63456" w:rsidRDefault="00263456" w:rsidP="00263456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СТО НОСТРОЙ 2.25.20.4-2011</w:t>
      </w:r>
    </w:p>
    <w:p w:rsidR="00263456" w:rsidRDefault="00263456" w:rsidP="00263456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263456" w:rsidRDefault="00263456" w:rsidP="00263456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263456" w:rsidRDefault="00263456" w:rsidP="00263456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263456" w:rsidRDefault="00263456" w:rsidP="00263456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Настоящий проект стандарта не подлежит применению до его утверждения</w:t>
      </w:r>
    </w:p>
    <w:p w:rsidR="00263456" w:rsidRDefault="00263456" w:rsidP="00263456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263456" w:rsidRDefault="00263456" w:rsidP="00D972D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3456" w:rsidRDefault="00263456" w:rsidP="00263456">
      <w:pPr>
        <w:pBdr>
          <w:bottom w:val="single" w:sz="12" w:space="1" w:color="auto"/>
        </w:pBd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263456" w:rsidRPr="00D31B5B" w:rsidRDefault="00263456" w:rsidP="0026345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972DF" w:rsidRDefault="00D972DF" w:rsidP="00D972DF">
      <w:pPr>
        <w:pStyle w:val="11"/>
        <w:spacing w:line="240" w:lineRule="auto"/>
        <w:ind w:right="0" w:firstLine="0"/>
        <w:jc w:val="center"/>
        <w:rPr>
          <w:rFonts w:ascii="Times New Roman" w:hAnsi="Times New Roman" w:cs="Times New Roman"/>
          <w:b/>
          <w:szCs w:val="28"/>
        </w:rPr>
      </w:pPr>
      <w:r>
        <w:rPr>
          <w:rFonts w:ascii="Times New Roman" w:hAnsi="Times New Roman" w:cs="Times New Roman"/>
          <w:b/>
          <w:szCs w:val="28"/>
        </w:rPr>
        <w:t xml:space="preserve">Саморегулируемая организация некоммерческоеое партнерство </w:t>
      </w:r>
      <w:r>
        <w:rPr>
          <w:rFonts w:ascii="Times New Roman" w:hAnsi="Times New Roman" w:cs="Times New Roman"/>
          <w:b/>
          <w:szCs w:val="28"/>
        </w:rPr>
        <w:br/>
        <w:t>«Межрегиональное объединение дорожников «СОЮЗДОРСТРОЙ»</w:t>
      </w:r>
    </w:p>
    <w:p w:rsidR="00D972DF" w:rsidRDefault="00D972DF" w:rsidP="00D972DF">
      <w:pPr>
        <w:pStyle w:val="11"/>
        <w:spacing w:line="240" w:lineRule="auto"/>
        <w:ind w:right="0" w:firstLine="0"/>
        <w:jc w:val="center"/>
        <w:rPr>
          <w:rFonts w:ascii="Times New Roman" w:hAnsi="Times New Roman" w:cs="Times New Roman"/>
          <w:b/>
          <w:szCs w:val="28"/>
        </w:rPr>
      </w:pPr>
      <w:r>
        <w:rPr>
          <w:rFonts w:ascii="Times New Roman" w:hAnsi="Times New Roman" w:cs="Times New Roman"/>
          <w:b/>
          <w:szCs w:val="28"/>
        </w:rPr>
        <w:t>Открытое акционерное общество</w:t>
      </w:r>
    </w:p>
    <w:p w:rsidR="00D972DF" w:rsidRDefault="00D972DF" w:rsidP="00D972DF">
      <w:pPr>
        <w:pStyle w:val="11"/>
        <w:spacing w:line="240" w:lineRule="auto"/>
        <w:ind w:right="0" w:firstLine="0"/>
        <w:jc w:val="center"/>
        <w:rPr>
          <w:rFonts w:ascii="Times New Roman" w:hAnsi="Times New Roman" w:cs="Times New Roman"/>
          <w:b/>
          <w:szCs w:val="28"/>
        </w:rPr>
      </w:pPr>
      <w:r>
        <w:rPr>
          <w:rFonts w:ascii="Times New Roman" w:hAnsi="Times New Roman" w:cs="Times New Roman"/>
          <w:b/>
          <w:szCs w:val="28"/>
        </w:rPr>
        <w:t>«Центр проектной продукции в строительстве»</w:t>
      </w:r>
    </w:p>
    <w:p w:rsidR="00D972DF" w:rsidRDefault="00D972DF" w:rsidP="00D972DF">
      <w:pPr>
        <w:tabs>
          <w:tab w:val="left" w:pos="3366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Москва 2011</w:t>
      </w:r>
    </w:p>
    <w:p w:rsidR="00263456" w:rsidRDefault="00263456" w:rsidP="00263456">
      <w:pPr>
        <w:rPr>
          <w:rFonts w:ascii="Times New Roman" w:hAnsi="Times New Roman" w:cs="Times New Roman"/>
          <w:sz w:val="28"/>
          <w:szCs w:val="28"/>
        </w:rPr>
      </w:pPr>
    </w:p>
    <w:p w:rsidR="00D972DF" w:rsidRDefault="00D972DF" w:rsidP="00D972D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Предисловие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366"/>
        <w:gridCol w:w="3228"/>
        <w:gridCol w:w="5692"/>
      </w:tblGrid>
      <w:tr w:rsidR="00D972DF" w:rsidTr="00D972DF">
        <w:tc>
          <w:tcPr>
            <w:tcW w:w="197" w:type="pct"/>
            <w:hideMark/>
          </w:tcPr>
          <w:p w:rsidR="00D972DF" w:rsidRDefault="00D972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738" w:type="pct"/>
            <w:hideMark/>
          </w:tcPr>
          <w:p w:rsidR="00D972DF" w:rsidRDefault="00D972DF">
            <w:pPr>
              <w:pStyle w:val="1"/>
              <w:keepLines/>
              <w:snapToGrid w:val="0"/>
              <w:spacing w:line="360" w:lineRule="auto"/>
              <w:jc w:val="left"/>
              <w:rPr>
                <w:color w:val="000000"/>
                <w:szCs w:val="28"/>
                <w:u w:val="none"/>
                <w:lang w:eastAsia="en-US"/>
              </w:rPr>
            </w:pPr>
            <w:r>
              <w:rPr>
                <w:color w:val="000000"/>
                <w:szCs w:val="28"/>
                <w:u w:val="none"/>
                <w:lang w:eastAsia="en-US"/>
              </w:rPr>
              <w:t>РАЗРАБОТАН</w:t>
            </w:r>
          </w:p>
        </w:tc>
        <w:tc>
          <w:tcPr>
            <w:tcW w:w="3065" w:type="pct"/>
            <w:hideMark/>
          </w:tcPr>
          <w:p w:rsidR="00D972DF" w:rsidRDefault="00D972DF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Саморегулируемая организация некоммерческое партнерство «Межрегиональное объединение дорожников «СОЮЗДОРСТРОЙ»</w:t>
            </w:r>
          </w:p>
        </w:tc>
      </w:tr>
      <w:tr w:rsidR="00D972DF" w:rsidTr="00D972DF">
        <w:tc>
          <w:tcPr>
            <w:tcW w:w="197" w:type="pct"/>
            <w:hideMark/>
          </w:tcPr>
          <w:p w:rsidR="00D972DF" w:rsidRDefault="00D972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738" w:type="pct"/>
            <w:hideMark/>
          </w:tcPr>
          <w:p w:rsidR="00D972DF" w:rsidRDefault="00D972DF">
            <w:pPr>
              <w:pStyle w:val="1"/>
              <w:keepLines/>
              <w:snapToGrid w:val="0"/>
              <w:spacing w:line="360" w:lineRule="auto"/>
              <w:jc w:val="left"/>
              <w:rPr>
                <w:color w:val="000000"/>
                <w:szCs w:val="28"/>
                <w:u w:val="none"/>
                <w:lang w:eastAsia="en-US"/>
              </w:rPr>
            </w:pPr>
            <w:r>
              <w:rPr>
                <w:color w:val="000000"/>
                <w:szCs w:val="28"/>
                <w:u w:val="none"/>
                <w:lang w:eastAsia="en-US"/>
              </w:rPr>
              <w:t>ПРЕДСТАВЛЕН НА</w:t>
            </w:r>
            <w:r>
              <w:rPr>
                <w:color w:val="000000"/>
                <w:szCs w:val="28"/>
                <w:u w:val="none"/>
                <w:lang w:eastAsia="en-US"/>
              </w:rPr>
              <w:br/>
              <w:t>УТВЕРЖДЕНИЕ</w:t>
            </w:r>
          </w:p>
        </w:tc>
        <w:tc>
          <w:tcPr>
            <w:tcW w:w="3065" w:type="pct"/>
            <w:hideMark/>
          </w:tcPr>
          <w:p w:rsidR="00D972DF" w:rsidRDefault="00D972DF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Аппаратом Национального объединения строителей</w:t>
            </w:r>
          </w:p>
        </w:tc>
      </w:tr>
      <w:tr w:rsidR="00D972DF" w:rsidTr="00D972DF">
        <w:tc>
          <w:tcPr>
            <w:tcW w:w="197" w:type="pct"/>
            <w:hideMark/>
          </w:tcPr>
          <w:p w:rsidR="00D972DF" w:rsidRDefault="00D972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738" w:type="pct"/>
            <w:hideMark/>
          </w:tcPr>
          <w:p w:rsidR="00D972DF" w:rsidRDefault="00D972DF">
            <w:pPr>
              <w:pStyle w:val="1"/>
              <w:keepLines/>
              <w:snapToGrid w:val="0"/>
              <w:spacing w:line="360" w:lineRule="auto"/>
              <w:jc w:val="left"/>
              <w:rPr>
                <w:color w:val="000000"/>
                <w:szCs w:val="28"/>
                <w:u w:val="none"/>
                <w:lang w:eastAsia="en-US"/>
              </w:rPr>
            </w:pPr>
            <w:r>
              <w:rPr>
                <w:color w:val="000000"/>
                <w:szCs w:val="28"/>
                <w:u w:val="none"/>
                <w:lang w:eastAsia="en-US"/>
              </w:rPr>
              <w:t xml:space="preserve">УТВЕРЖДЕН И </w:t>
            </w:r>
            <w:r>
              <w:rPr>
                <w:color w:val="000000"/>
                <w:szCs w:val="28"/>
                <w:u w:val="none"/>
                <w:lang w:eastAsia="en-US"/>
              </w:rPr>
              <w:br/>
              <w:t>ВВЕДЕН В ДЕЙСТВИЕ</w:t>
            </w:r>
          </w:p>
        </w:tc>
        <w:tc>
          <w:tcPr>
            <w:tcW w:w="3065" w:type="pct"/>
            <w:hideMark/>
          </w:tcPr>
          <w:p w:rsidR="00D972DF" w:rsidRDefault="00D972DF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Решением Совета Национального объединения строителей от _________ № ____</w:t>
            </w:r>
          </w:p>
        </w:tc>
      </w:tr>
      <w:tr w:rsidR="00D972DF" w:rsidTr="00D972DF">
        <w:tc>
          <w:tcPr>
            <w:tcW w:w="197" w:type="pct"/>
            <w:hideMark/>
          </w:tcPr>
          <w:p w:rsidR="00D972DF" w:rsidRDefault="00D972D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738" w:type="pct"/>
            <w:hideMark/>
          </w:tcPr>
          <w:p w:rsidR="00D972DF" w:rsidRDefault="00D972DF">
            <w:pPr>
              <w:pStyle w:val="1"/>
              <w:keepLines/>
              <w:snapToGrid w:val="0"/>
              <w:spacing w:line="360" w:lineRule="auto"/>
              <w:jc w:val="left"/>
              <w:rPr>
                <w:color w:val="000000"/>
                <w:szCs w:val="28"/>
                <w:u w:val="none"/>
                <w:lang w:eastAsia="en-US"/>
              </w:rPr>
            </w:pPr>
            <w:r>
              <w:rPr>
                <w:color w:val="000000"/>
                <w:szCs w:val="28"/>
                <w:u w:val="none"/>
                <w:lang w:eastAsia="en-US"/>
              </w:rPr>
              <w:t>ВВЕДЁН</w:t>
            </w:r>
          </w:p>
        </w:tc>
        <w:tc>
          <w:tcPr>
            <w:tcW w:w="3065" w:type="pct"/>
            <w:hideMark/>
          </w:tcPr>
          <w:p w:rsidR="00D972DF" w:rsidRDefault="00D972DF">
            <w:pPr>
              <w:pStyle w:val="11"/>
              <w:ind w:right="0" w:firstLine="0"/>
              <w:rPr>
                <w:rFonts w:ascii="Times New Roman" w:hAnsi="Times New Roman" w:cs="Times New Roman"/>
                <w:color w:val="000000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Cs/>
                <w:szCs w:val="28"/>
              </w:rPr>
              <w:t>ВПЕРВЫЕ</w:t>
            </w:r>
          </w:p>
        </w:tc>
      </w:tr>
    </w:tbl>
    <w:p w:rsidR="00D972DF" w:rsidRDefault="00D972DF" w:rsidP="00D972DF">
      <w:pPr>
        <w:spacing w:line="360" w:lineRule="auto"/>
        <w:jc w:val="center"/>
        <w:rPr>
          <w:sz w:val="28"/>
          <w:szCs w:val="28"/>
        </w:rPr>
      </w:pPr>
    </w:p>
    <w:p w:rsidR="00D972DF" w:rsidRDefault="00D972DF" w:rsidP="00D972DF">
      <w:pPr>
        <w:pStyle w:val="aa"/>
        <w:jc w:val="center"/>
        <w:rPr>
          <w:b/>
          <w:color w:val="000000"/>
        </w:rPr>
      </w:pPr>
    </w:p>
    <w:p w:rsidR="00D972DF" w:rsidRDefault="00D972DF" w:rsidP="00D972DF">
      <w:pPr>
        <w:pStyle w:val="aa"/>
        <w:jc w:val="center"/>
        <w:rPr>
          <w:b/>
          <w:color w:val="000000"/>
        </w:rPr>
      </w:pPr>
    </w:p>
    <w:p w:rsidR="00D972DF" w:rsidRDefault="00D972DF" w:rsidP="00D972DF">
      <w:pPr>
        <w:pStyle w:val="aa"/>
        <w:jc w:val="center"/>
        <w:rPr>
          <w:b/>
          <w:color w:val="000000"/>
        </w:rPr>
      </w:pPr>
    </w:p>
    <w:p w:rsidR="00D972DF" w:rsidRDefault="00D972DF" w:rsidP="00D972DF">
      <w:pPr>
        <w:pStyle w:val="aa"/>
        <w:jc w:val="center"/>
        <w:rPr>
          <w:b/>
          <w:color w:val="000000"/>
        </w:rPr>
      </w:pPr>
    </w:p>
    <w:p w:rsidR="00D972DF" w:rsidRDefault="00D972DF" w:rsidP="00D972DF">
      <w:pPr>
        <w:pStyle w:val="aa"/>
        <w:jc w:val="center"/>
        <w:rPr>
          <w:b/>
          <w:color w:val="000000"/>
        </w:rPr>
      </w:pPr>
    </w:p>
    <w:p w:rsidR="00D972DF" w:rsidRDefault="00D972DF" w:rsidP="00D972DF">
      <w:pPr>
        <w:pStyle w:val="aa"/>
        <w:jc w:val="center"/>
        <w:rPr>
          <w:b/>
          <w:color w:val="000000"/>
          <w:lang w:val="en-US"/>
        </w:rPr>
      </w:pPr>
    </w:p>
    <w:p w:rsidR="00D972DF" w:rsidRDefault="00D972DF" w:rsidP="00D972DF">
      <w:pPr>
        <w:pStyle w:val="aa"/>
        <w:jc w:val="center"/>
        <w:rPr>
          <w:b/>
          <w:color w:val="000000"/>
          <w:lang w:val="en-US"/>
        </w:rPr>
      </w:pPr>
    </w:p>
    <w:p w:rsidR="00D972DF" w:rsidRDefault="00D972DF" w:rsidP="00D972DF">
      <w:pPr>
        <w:pStyle w:val="aa"/>
        <w:jc w:val="center"/>
        <w:rPr>
          <w:b/>
          <w:color w:val="000000"/>
          <w:lang w:val="en-US"/>
        </w:rPr>
      </w:pPr>
    </w:p>
    <w:p w:rsidR="00D972DF" w:rsidRDefault="00D972DF" w:rsidP="00D972DF">
      <w:pPr>
        <w:pStyle w:val="aa"/>
        <w:jc w:val="center"/>
        <w:rPr>
          <w:b/>
          <w:color w:val="000000"/>
        </w:rPr>
      </w:pPr>
    </w:p>
    <w:p w:rsidR="00D972DF" w:rsidRDefault="00D972DF" w:rsidP="00D972DF">
      <w:pPr>
        <w:pStyle w:val="aa"/>
        <w:jc w:val="center"/>
        <w:rPr>
          <w:b/>
          <w:color w:val="000000"/>
        </w:rPr>
      </w:pPr>
    </w:p>
    <w:p w:rsidR="00D972DF" w:rsidRDefault="00D972DF" w:rsidP="00D972DF">
      <w:pPr>
        <w:pStyle w:val="aa"/>
        <w:jc w:val="center"/>
        <w:rPr>
          <w:b/>
          <w:color w:val="000000"/>
        </w:rPr>
      </w:pPr>
    </w:p>
    <w:p w:rsidR="00D972DF" w:rsidRDefault="00D972DF" w:rsidP="00D972DF">
      <w:pPr>
        <w:pStyle w:val="aa"/>
        <w:rPr>
          <w:b/>
          <w:color w:val="000000"/>
        </w:rPr>
      </w:pPr>
    </w:p>
    <w:p w:rsidR="00D972DF" w:rsidRDefault="00D972DF" w:rsidP="00D972DF">
      <w:pPr>
        <w:pStyle w:val="aa"/>
        <w:jc w:val="center"/>
        <w:rPr>
          <w:b/>
          <w:color w:val="000000"/>
        </w:rPr>
      </w:pPr>
    </w:p>
    <w:p w:rsidR="00D972DF" w:rsidRDefault="00D972DF" w:rsidP="00D972DF">
      <w:pPr>
        <w:pStyle w:val="aa"/>
        <w:ind w:left="1560" w:firstLine="283"/>
        <w:jc w:val="right"/>
        <w:rPr>
          <w:color w:val="000000"/>
          <w:sz w:val="24"/>
        </w:rPr>
      </w:pPr>
      <w:r>
        <w:rPr>
          <w:color w:val="000000"/>
          <w:sz w:val="24"/>
        </w:rPr>
        <w:t>© Национальное объединение строителей, 2011</w:t>
      </w:r>
    </w:p>
    <w:p w:rsidR="00D972DF" w:rsidRDefault="00D972DF" w:rsidP="00D972DF">
      <w:pPr>
        <w:pStyle w:val="aa"/>
        <w:jc w:val="right"/>
        <w:rPr>
          <w:color w:val="000000"/>
          <w:sz w:val="24"/>
        </w:rPr>
      </w:pPr>
      <w:r>
        <w:rPr>
          <w:color w:val="000000"/>
          <w:sz w:val="24"/>
        </w:rPr>
        <w:t>© Некоммерческое партнерство «Межрегиональное объединение дорожников</w:t>
      </w:r>
      <w:r>
        <w:rPr>
          <w:color w:val="000000"/>
          <w:sz w:val="24"/>
        </w:rPr>
        <w:br/>
        <w:t>«СОЮЗДОРОСТРОЙ», 2011</w:t>
      </w:r>
    </w:p>
    <w:p w:rsidR="00D972DF" w:rsidRDefault="00D972DF" w:rsidP="00D972DF">
      <w:pPr>
        <w:pStyle w:val="Default"/>
        <w:jc w:val="center"/>
      </w:pPr>
    </w:p>
    <w:p w:rsidR="00D972DF" w:rsidRDefault="00D972DF" w:rsidP="00D972DF">
      <w:pPr>
        <w:pStyle w:val="Default"/>
        <w:jc w:val="center"/>
        <w:rPr>
          <w:i/>
          <w:iCs/>
        </w:rPr>
      </w:pPr>
      <w:r>
        <w:rPr>
          <w:i/>
          <w:iCs/>
        </w:rPr>
        <w:t>Распространение настоящего стандарта осуществляется в соответствии с действующим законодательством и с соблюдением правил,</w:t>
      </w:r>
    </w:p>
    <w:p w:rsidR="00D972DF" w:rsidRDefault="00D972DF" w:rsidP="00D972DF">
      <w:pPr>
        <w:pStyle w:val="aa"/>
        <w:jc w:val="center"/>
        <w:rPr>
          <w:i/>
          <w:iCs/>
          <w:sz w:val="24"/>
        </w:rPr>
      </w:pPr>
      <w:r>
        <w:rPr>
          <w:i/>
          <w:iCs/>
          <w:sz w:val="24"/>
        </w:rPr>
        <w:t>установленных Национальным объединением строителей</w:t>
      </w:r>
    </w:p>
    <w:p w:rsidR="00263456" w:rsidRPr="00306D00" w:rsidRDefault="00263456" w:rsidP="00263456">
      <w:pPr>
        <w:spacing w:line="288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06D00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263456" w:rsidRPr="00604B24" w:rsidRDefault="00263456" w:rsidP="00263456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Введение</w:t>
      </w:r>
      <w:r w:rsidRPr="00306D00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>IV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63456" w:rsidRPr="00306D00" w:rsidRDefault="00263456" w:rsidP="00263456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 w:rsidRPr="00306D00">
        <w:rPr>
          <w:rFonts w:ascii="Times New Roman" w:hAnsi="Times New Roman" w:cs="Times New Roman"/>
          <w:sz w:val="28"/>
          <w:szCs w:val="28"/>
        </w:rPr>
        <w:t>1 Область применения</w:t>
      </w:r>
      <w:r w:rsidRPr="00306D00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1 </w:t>
      </w:r>
    </w:p>
    <w:p w:rsidR="00263456" w:rsidRPr="00306D00" w:rsidRDefault="00263456" w:rsidP="00263456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 w:rsidRPr="00306D00">
        <w:rPr>
          <w:rFonts w:ascii="Times New Roman" w:hAnsi="Times New Roman" w:cs="Times New Roman"/>
          <w:sz w:val="28"/>
          <w:szCs w:val="28"/>
        </w:rPr>
        <w:t>2 Нормативные ссылки</w:t>
      </w:r>
      <w:r w:rsidRPr="00306D00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1 </w:t>
      </w:r>
    </w:p>
    <w:p w:rsidR="00263456" w:rsidRPr="00306D00" w:rsidRDefault="00263456" w:rsidP="00263456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 w:rsidRPr="00306D00">
        <w:rPr>
          <w:rFonts w:ascii="Times New Roman" w:hAnsi="Times New Roman" w:cs="Times New Roman"/>
          <w:sz w:val="28"/>
          <w:szCs w:val="28"/>
        </w:rPr>
        <w:t>3 Термины и определения</w:t>
      </w:r>
      <w:r w:rsidRPr="00306D00">
        <w:rPr>
          <w:rFonts w:ascii="Times New Roman" w:hAnsi="Times New Roman" w:cs="Times New Roman"/>
          <w:sz w:val="28"/>
          <w:szCs w:val="28"/>
        </w:rPr>
        <w:tab/>
      </w:r>
      <w:r w:rsidR="009D08A8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63456" w:rsidRPr="00306D00" w:rsidRDefault="00263456" w:rsidP="00263456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 w:rsidRPr="00306D00">
        <w:rPr>
          <w:rFonts w:ascii="Times New Roman" w:hAnsi="Times New Roman" w:cs="Times New Roman"/>
          <w:sz w:val="28"/>
          <w:szCs w:val="28"/>
        </w:rPr>
        <w:t xml:space="preserve">4 </w:t>
      </w:r>
      <w:r w:rsidR="00BA2DAD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сновные положения</w:t>
      </w:r>
      <w:r w:rsidRPr="00306D00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6 </w:t>
      </w:r>
    </w:p>
    <w:p w:rsidR="00263456" w:rsidRDefault="00263456" w:rsidP="00263456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 w:rsidRPr="00306D00">
        <w:rPr>
          <w:rFonts w:ascii="Times New Roman" w:hAnsi="Times New Roman" w:cs="Times New Roman"/>
          <w:sz w:val="28"/>
          <w:szCs w:val="28"/>
        </w:rPr>
        <w:t xml:space="preserve">5 </w:t>
      </w:r>
      <w:r w:rsidR="00D972DF">
        <w:rPr>
          <w:rFonts w:ascii="Times New Roman" w:hAnsi="Times New Roman" w:cs="Times New Roman"/>
          <w:sz w:val="28"/>
          <w:szCs w:val="28"/>
        </w:rPr>
        <w:t>Материалы</w:t>
      </w:r>
      <w:r w:rsidRPr="00306D00">
        <w:rPr>
          <w:rFonts w:ascii="Times New Roman" w:hAnsi="Times New Roman" w:cs="Times New Roman"/>
          <w:sz w:val="28"/>
          <w:szCs w:val="28"/>
        </w:rPr>
        <w:tab/>
      </w:r>
      <w:r w:rsidR="009D08A8">
        <w:rPr>
          <w:rFonts w:ascii="Times New Roman" w:hAnsi="Times New Roman" w:cs="Times New Roman"/>
          <w:sz w:val="28"/>
          <w:szCs w:val="28"/>
        </w:rPr>
        <w:t>10</w:t>
      </w:r>
    </w:p>
    <w:p w:rsidR="00BA2DAD" w:rsidRPr="00306D00" w:rsidRDefault="00BA2DAD" w:rsidP="00BA2DAD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Pr="00306D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Технология устройства барьерного ограждения</w:t>
      </w:r>
      <w:r w:rsidRPr="00306D00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1</w:t>
      </w:r>
      <w:r w:rsidR="009D08A8"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63456" w:rsidRPr="00306D00" w:rsidRDefault="00BA2DAD" w:rsidP="00263456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263456">
        <w:rPr>
          <w:rFonts w:ascii="Times New Roman" w:hAnsi="Times New Roman" w:cs="Times New Roman"/>
          <w:sz w:val="28"/>
          <w:szCs w:val="28"/>
        </w:rPr>
        <w:t>.1</w:t>
      </w:r>
      <w:r w:rsidR="00263456" w:rsidRPr="00306D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Общие указания</w:t>
      </w:r>
      <w:r w:rsidR="00263456" w:rsidRPr="00306D00">
        <w:rPr>
          <w:rFonts w:ascii="Times New Roman" w:hAnsi="Times New Roman" w:cs="Times New Roman"/>
          <w:sz w:val="28"/>
          <w:szCs w:val="28"/>
        </w:rPr>
        <w:tab/>
      </w:r>
      <w:r w:rsidR="00263456">
        <w:rPr>
          <w:rFonts w:ascii="Times New Roman" w:hAnsi="Times New Roman" w:cs="Times New Roman"/>
          <w:sz w:val="28"/>
          <w:szCs w:val="28"/>
        </w:rPr>
        <w:t>8</w:t>
      </w:r>
    </w:p>
    <w:p w:rsidR="00263456" w:rsidRPr="00306D00" w:rsidRDefault="00BA2DAD" w:rsidP="00263456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263456">
        <w:rPr>
          <w:rFonts w:ascii="Times New Roman" w:hAnsi="Times New Roman" w:cs="Times New Roman"/>
          <w:sz w:val="28"/>
          <w:szCs w:val="28"/>
        </w:rPr>
        <w:t>.2</w:t>
      </w:r>
      <w:r w:rsidR="00263456" w:rsidRPr="00306D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Определение положения стоек</w:t>
      </w:r>
      <w:r w:rsidR="00263456">
        <w:rPr>
          <w:rFonts w:ascii="Times New Roman" w:hAnsi="Times New Roman" w:cs="Times New Roman"/>
          <w:sz w:val="28"/>
          <w:szCs w:val="28"/>
        </w:rPr>
        <w:tab/>
        <w:t>9</w:t>
      </w:r>
    </w:p>
    <w:p w:rsidR="00263456" w:rsidRPr="00306D00" w:rsidRDefault="00BA2DAD" w:rsidP="00263456">
      <w:pPr>
        <w:tabs>
          <w:tab w:val="right" w:leader="dot" w:pos="9355"/>
        </w:tabs>
        <w:spacing w:line="288" w:lineRule="auto"/>
        <w:ind w:left="280" w:hanging="2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263456">
        <w:rPr>
          <w:rFonts w:ascii="Times New Roman" w:hAnsi="Times New Roman" w:cs="Times New Roman"/>
          <w:sz w:val="28"/>
          <w:szCs w:val="28"/>
        </w:rPr>
        <w:t>.3</w:t>
      </w:r>
      <w:r w:rsidR="00263456" w:rsidRPr="00306D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Установка стоек</w:t>
      </w:r>
      <w:r w:rsidR="00263456">
        <w:rPr>
          <w:rFonts w:ascii="Times New Roman" w:hAnsi="Times New Roman" w:cs="Times New Roman"/>
          <w:sz w:val="28"/>
          <w:szCs w:val="28"/>
        </w:rPr>
        <w:tab/>
        <w:t>10</w:t>
      </w:r>
    </w:p>
    <w:p w:rsidR="00263456" w:rsidRPr="00306D00" w:rsidRDefault="00BA2DAD" w:rsidP="00263456">
      <w:pPr>
        <w:tabs>
          <w:tab w:val="right" w:leader="dot" w:pos="9355"/>
        </w:tabs>
        <w:spacing w:line="288" w:lineRule="auto"/>
        <w:ind w:left="280" w:hanging="2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263456">
        <w:rPr>
          <w:rFonts w:ascii="Times New Roman" w:hAnsi="Times New Roman" w:cs="Times New Roman"/>
          <w:sz w:val="28"/>
          <w:szCs w:val="28"/>
        </w:rPr>
        <w:t>.4</w:t>
      </w:r>
      <w:r w:rsidR="00263456" w:rsidRPr="00306D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Установка консолей, секций балок, связей анкерных, вставок телескопических, переходных элементов, концевых элементов и световозвращателей</w:t>
      </w:r>
      <w:r w:rsidR="00263456">
        <w:rPr>
          <w:rFonts w:ascii="Times New Roman" w:hAnsi="Times New Roman" w:cs="Times New Roman"/>
          <w:sz w:val="28"/>
          <w:szCs w:val="28"/>
        </w:rPr>
        <w:tab/>
        <w:t>11</w:t>
      </w:r>
    </w:p>
    <w:p w:rsidR="00263456" w:rsidRPr="00306D00" w:rsidRDefault="00BA2DAD" w:rsidP="00263456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263456">
        <w:rPr>
          <w:rFonts w:ascii="Times New Roman" w:hAnsi="Times New Roman" w:cs="Times New Roman"/>
          <w:sz w:val="28"/>
          <w:szCs w:val="28"/>
        </w:rPr>
        <w:t xml:space="preserve"> </w:t>
      </w:r>
      <w:r w:rsidR="00263456" w:rsidRPr="00306D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Операционный контроль качества</w:t>
      </w:r>
      <w:r w:rsidR="00263456" w:rsidRPr="00306D00">
        <w:rPr>
          <w:rFonts w:ascii="Times New Roman" w:hAnsi="Times New Roman" w:cs="Times New Roman"/>
          <w:sz w:val="28"/>
          <w:szCs w:val="28"/>
        </w:rPr>
        <w:tab/>
      </w:r>
      <w:r w:rsidR="009D08A8">
        <w:rPr>
          <w:rFonts w:ascii="Times New Roman" w:hAnsi="Times New Roman" w:cs="Times New Roman"/>
          <w:sz w:val="28"/>
          <w:szCs w:val="28"/>
        </w:rPr>
        <w:t>14</w:t>
      </w:r>
    </w:p>
    <w:p w:rsidR="00263456" w:rsidRPr="00306D00" w:rsidRDefault="00BA2DAD" w:rsidP="00263456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26345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Безопасность работ при монтаже ограждения</w:t>
      </w:r>
      <w:r w:rsidR="00263456">
        <w:rPr>
          <w:rFonts w:ascii="Times New Roman" w:hAnsi="Times New Roman" w:cs="Times New Roman"/>
          <w:sz w:val="28"/>
          <w:szCs w:val="28"/>
        </w:rPr>
        <w:tab/>
      </w:r>
      <w:r w:rsidR="009D08A8">
        <w:rPr>
          <w:rFonts w:ascii="Times New Roman" w:hAnsi="Times New Roman" w:cs="Times New Roman"/>
          <w:sz w:val="28"/>
          <w:szCs w:val="28"/>
        </w:rPr>
        <w:t>21</w:t>
      </w:r>
    </w:p>
    <w:p w:rsidR="00263456" w:rsidRPr="00306D00" w:rsidRDefault="00BA2DAD" w:rsidP="00263456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263456">
        <w:rPr>
          <w:rFonts w:ascii="Times New Roman" w:hAnsi="Times New Roman" w:cs="Times New Roman"/>
          <w:sz w:val="28"/>
          <w:szCs w:val="28"/>
        </w:rPr>
        <w:t xml:space="preserve"> </w:t>
      </w:r>
      <w:r w:rsidR="00263456" w:rsidRPr="00306D00">
        <w:rPr>
          <w:rFonts w:ascii="Times New Roman" w:hAnsi="Times New Roman" w:cs="Times New Roman"/>
          <w:sz w:val="28"/>
          <w:szCs w:val="28"/>
        </w:rPr>
        <w:t xml:space="preserve"> </w:t>
      </w:r>
      <w:r w:rsidR="00263456">
        <w:rPr>
          <w:rFonts w:ascii="Times New Roman" w:hAnsi="Times New Roman" w:cs="Times New Roman"/>
          <w:sz w:val="28"/>
          <w:szCs w:val="28"/>
        </w:rPr>
        <w:t>Библиография</w:t>
      </w:r>
      <w:r w:rsidR="00263456" w:rsidRPr="00306D00">
        <w:rPr>
          <w:rFonts w:ascii="Times New Roman" w:hAnsi="Times New Roman" w:cs="Times New Roman"/>
          <w:sz w:val="28"/>
          <w:szCs w:val="28"/>
        </w:rPr>
        <w:tab/>
      </w:r>
      <w:r w:rsidR="009D08A8">
        <w:rPr>
          <w:rFonts w:ascii="Times New Roman" w:hAnsi="Times New Roman" w:cs="Times New Roman"/>
          <w:sz w:val="28"/>
          <w:szCs w:val="28"/>
        </w:rPr>
        <w:t>24</w:t>
      </w:r>
    </w:p>
    <w:p w:rsidR="009D08A8" w:rsidRPr="00306D00" w:rsidRDefault="009D08A8" w:rsidP="009D08A8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А - Техническая схема по устройству</w:t>
      </w:r>
      <w:r w:rsidRPr="009D08A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барьерного ограждения</w:t>
      </w:r>
      <w:r w:rsidRPr="00306D00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25</w:t>
      </w:r>
    </w:p>
    <w:p w:rsidR="00263456" w:rsidRDefault="009D08A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92748" w:rsidRDefault="00F92748">
      <w:pPr>
        <w:rPr>
          <w:rFonts w:ascii="Times New Roman" w:hAnsi="Times New Roman" w:cs="Times New Roman"/>
          <w:sz w:val="28"/>
          <w:szCs w:val="28"/>
        </w:rPr>
      </w:pPr>
    </w:p>
    <w:p w:rsidR="00F92748" w:rsidRDefault="00F92748">
      <w:pPr>
        <w:rPr>
          <w:rFonts w:ascii="Times New Roman" w:hAnsi="Times New Roman" w:cs="Times New Roman"/>
          <w:sz w:val="28"/>
          <w:szCs w:val="28"/>
        </w:rPr>
      </w:pPr>
    </w:p>
    <w:p w:rsidR="001A6D6E" w:rsidRDefault="001A6D6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A6D6E" w:rsidRDefault="001A6D6E" w:rsidP="001A6D6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D972DF" w:rsidRDefault="00D972DF" w:rsidP="00D972DF">
      <w:pPr>
        <w:tabs>
          <w:tab w:val="left" w:pos="2040"/>
          <w:tab w:val="center" w:pos="4535"/>
        </w:tabs>
        <w:spacing w:before="48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sz w:val="32"/>
          <w:szCs w:val="32"/>
        </w:rPr>
        <w:t>Введение</w:t>
      </w:r>
    </w:p>
    <w:p w:rsidR="00D972DF" w:rsidRDefault="00D972DF" w:rsidP="00D972DF">
      <w:pPr>
        <w:pStyle w:val="ac"/>
        <w:spacing w:before="0"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Настоящий стандарт разработан в рамках Программы стандартизации Национального объединения строителей и направлен на реализацию Градостроительного кодекса Российской Федерации [1], Федерального закона от 27 декабря </w:t>
      </w:r>
      <w:smartTag w:uri="urn:schemas-microsoft-com:office:smarttags" w:element="metricconverter">
        <w:smartTagPr>
          <w:attr w:name="ProductID" w:val="2002 г"/>
        </w:smartTagPr>
        <w:r>
          <w:rPr>
            <w:sz w:val="28"/>
            <w:szCs w:val="28"/>
          </w:rPr>
          <w:t>2002 г</w:t>
        </w:r>
      </w:smartTag>
      <w:r>
        <w:rPr>
          <w:sz w:val="28"/>
          <w:szCs w:val="28"/>
        </w:rPr>
        <w:t xml:space="preserve">. № 184-ФЗ «О техническом регулировании» [2], Федерального закона от 1 декабря 2007 года № 315-ФЗ «О саморегулируемых организациях», Федерального закона от 30 декабря </w:t>
      </w:r>
      <w:smartTag w:uri="urn:schemas-microsoft-com:office:smarttags" w:element="metricconverter">
        <w:smartTagPr>
          <w:attr w:name="ProductID" w:val="2009 г"/>
        </w:smartTagPr>
        <w:r>
          <w:rPr>
            <w:sz w:val="28"/>
            <w:szCs w:val="28"/>
          </w:rPr>
          <w:t>2009 г</w:t>
        </w:r>
      </w:smartTag>
      <w:r>
        <w:rPr>
          <w:sz w:val="28"/>
          <w:szCs w:val="28"/>
        </w:rPr>
        <w:t xml:space="preserve">. № 384-ФЗ «Технический регламент о безопасности зданий и сооружений», приказа Министерства регионального развития Российской Федерации от 30 декабря </w:t>
      </w:r>
      <w:smartTag w:uri="urn:schemas-microsoft-com:office:smarttags" w:element="metricconverter">
        <w:smartTagPr>
          <w:attr w:name="ProductID" w:val="2009 г"/>
        </w:smartTagPr>
        <w:r>
          <w:rPr>
            <w:sz w:val="28"/>
            <w:szCs w:val="28"/>
          </w:rPr>
          <w:t>2009 г</w:t>
        </w:r>
      </w:smartTag>
      <w:r>
        <w:rPr>
          <w:sz w:val="28"/>
          <w:szCs w:val="28"/>
        </w:rPr>
        <w:t>. № 624 «Об утверждении Перечня видов работ по инженерным изысканиям, по подготовке проектной документации, по строительству, реконструкции, капитальному ремонту объектов капитального строительства, которые оказывают влияние на безопасность объектов капитального строительства».</w:t>
      </w:r>
    </w:p>
    <w:p w:rsidR="00D1541B" w:rsidRDefault="00D1541B" w:rsidP="00D1541B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1541B" w:rsidRDefault="00D1541B" w:rsidP="00D1541B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1541B" w:rsidRDefault="005117A2" w:rsidP="00D1541B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Авторский коллектив: инж. Ф.В.Литош (Государственная компания «Автодор»), к.т.н., профессор В.П.Залуга (Московский автомобильно-дорожный государственный технический университет).</w:t>
      </w:r>
    </w:p>
    <w:p w:rsidR="005117A2" w:rsidRDefault="005117A2" w:rsidP="00D1541B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117A2" w:rsidRDefault="005117A2" w:rsidP="00D1541B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117A2" w:rsidRDefault="005117A2" w:rsidP="00D1541B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117A2" w:rsidRDefault="005117A2" w:rsidP="00D1541B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  <w:sectPr w:rsidR="005117A2" w:rsidSect="005117A2">
          <w:headerReference w:type="default" r:id="rId8"/>
          <w:footerReference w:type="default" r:id="rId9"/>
          <w:pgSz w:w="11906" w:h="16838" w:code="9"/>
          <w:pgMar w:top="1238" w:right="1418" w:bottom="1418" w:left="1418" w:header="709" w:footer="1134" w:gutter="0"/>
          <w:pgNumType w:fmt="upperRoman" w:start="1"/>
          <w:cols w:space="708"/>
          <w:docGrid w:linePitch="360"/>
        </w:sectPr>
      </w:pPr>
    </w:p>
    <w:p w:rsidR="00237D2D" w:rsidRDefault="00237D2D" w:rsidP="00237D2D">
      <w:pPr>
        <w:pBdr>
          <w:bottom w:val="single" w:sz="12" w:space="1" w:color="auto"/>
        </w:pBd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81F5B">
        <w:rPr>
          <w:rFonts w:ascii="Times New Roman" w:hAnsi="Times New Roman" w:cs="Times New Roman"/>
          <w:sz w:val="28"/>
          <w:szCs w:val="28"/>
        </w:rPr>
        <w:lastRenderedPageBreak/>
        <w:t>СТАНДАРТ</w:t>
      </w:r>
      <w:r>
        <w:rPr>
          <w:rFonts w:ascii="Times New Roman" w:hAnsi="Times New Roman" w:cs="Times New Roman"/>
          <w:sz w:val="28"/>
          <w:szCs w:val="28"/>
        </w:rPr>
        <w:t xml:space="preserve"> НАЦИОНАЛЬНОГО ОБЪЕДИНЕНИЯ СТРОИТЕЛЕЙ</w:t>
      </w:r>
    </w:p>
    <w:p w:rsidR="00237D2D" w:rsidRDefault="00237D2D" w:rsidP="00237D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37D2D" w:rsidRDefault="00237D2D" w:rsidP="00237D2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Устройство обстановки дороги</w:t>
      </w:r>
    </w:p>
    <w:p w:rsidR="00237D2D" w:rsidRDefault="00237D2D" w:rsidP="00237D2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37D2D" w:rsidRPr="003112F8" w:rsidRDefault="00237D2D" w:rsidP="00237D2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УСТРОЙСТВО МЕТАЛЛИЧЕСКИХ БАРЬЕРНЫХ</w:t>
      </w:r>
    </w:p>
    <w:p w:rsidR="00237D2D" w:rsidRDefault="00237D2D" w:rsidP="00237D2D">
      <w:pPr>
        <w:pBdr>
          <w:bottom w:val="single" w:sz="12" w:space="1" w:color="auto"/>
        </w:pBd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ОГРАЖДЕНИЙ</w:t>
      </w:r>
    </w:p>
    <w:p w:rsidR="00237D2D" w:rsidRDefault="00237D2D" w:rsidP="00237D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37D2D" w:rsidRDefault="00237D2D" w:rsidP="00237D2D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Дата введения</w:t>
      </w:r>
    </w:p>
    <w:p w:rsidR="00237D2D" w:rsidRDefault="00237D2D" w:rsidP="00237D2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 Область применения</w:t>
      </w:r>
    </w:p>
    <w:p w:rsidR="00D972DF" w:rsidRDefault="00D972DF" w:rsidP="00D972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 Область применения</w:t>
      </w:r>
    </w:p>
    <w:p w:rsidR="00237D2D" w:rsidRPr="00D972DF" w:rsidRDefault="00D972DF" w:rsidP="00D972DF">
      <w:pPr>
        <w:spacing w:line="360" w:lineRule="auto"/>
        <w:ind w:firstLine="510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1.1 Настоящий стандарт организации устанавливает правила производства работ</w:t>
      </w:r>
      <w:r>
        <w:rPr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дорожных металлических ограждений</w:t>
      </w:r>
      <w:r w:rsidR="00237D2D">
        <w:rPr>
          <w:rFonts w:ascii="Times New Roman" w:hAnsi="Times New Roman" w:cs="Times New Roman"/>
          <w:sz w:val="28"/>
          <w:szCs w:val="28"/>
        </w:rPr>
        <w:t xml:space="preserve"> барьерного типа одностороннего и двустороннего исполнения (далее ограждения</w:t>
      </w:r>
      <w:r>
        <w:rPr>
          <w:rFonts w:ascii="Times New Roman" w:hAnsi="Times New Roman" w:cs="Times New Roman"/>
          <w:sz w:val="28"/>
          <w:szCs w:val="28"/>
        </w:rPr>
        <w:t>)</w:t>
      </w:r>
      <w:r w:rsidR="00237D2D">
        <w:rPr>
          <w:rFonts w:ascii="Times New Roman" w:hAnsi="Times New Roman" w:cs="Times New Roman"/>
          <w:sz w:val="28"/>
          <w:szCs w:val="28"/>
        </w:rPr>
        <w:t>.</w:t>
      </w:r>
    </w:p>
    <w:p w:rsidR="00237D2D" w:rsidRDefault="00237D2D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Стандарт не распространяется на мостовые металлические барьерные ограждения, устройство которых зависит от конструктивных особенностей мостовых сооружений, а так же на удерживающие и ограничивающие пешеходные ограждения, разделение которых по классификационным признакам проведено в ГОСТ Р 52606-2006.</w:t>
      </w:r>
    </w:p>
    <w:p w:rsidR="00237D2D" w:rsidRDefault="00237D2D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Стандарт предназначен для применения на автомобильных дорогах общего пользования.</w:t>
      </w:r>
    </w:p>
    <w:p w:rsidR="00237D2D" w:rsidRDefault="00237D2D" w:rsidP="00237D2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Нормативные ссылки</w:t>
      </w:r>
    </w:p>
    <w:p w:rsidR="00237D2D" w:rsidRDefault="00237D2D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настоящем</w:t>
      </w:r>
      <w:r w:rsidR="002B1E38">
        <w:rPr>
          <w:rFonts w:ascii="Times New Roman" w:hAnsi="Times New Roman" w:cs="Times New Roman"/>
          <w:sz w:val="28"/>
          <w:szCs w:val="28"/>
        </w:rPr>
        <w:t xml:space="preserve"> стандарте</w:t>
      </w:r>
      <w:r>
        <w:rPr>
          <w:rFonts w:ascii="Times New Roman" w:hAnsi="Times New Roman" w:cs="Times New Roman"/>
          <w:sz w:val="28"/>
          <w:szCs w:val="28"/>
        </w:rPr>
        <w:t xml:space="preserve"> использованы ссылки на следующие нормативные документы:</w:t>
      </w:r>
    </w:p>
    <w:p w:rsidR="00237D2D" w:rsidRDefault="00237D2D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9.301-86 ЕСЗКС Покрытия металлические и неметаллические неорганические. Общие требования</w:t>
      </w:r>
    </w:p>
    <w:p w:rsidR="00237D2D" w:rsidRDefault="00237D2D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9.307-89 ЕСЗКС Покрытия цинковые горячие. Общие требования и методы контроля</w:t>
      </w:r>
    </w:p>
    <w:p w:rsidR="00237D2D" w:rsidRDefault="00237D2D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166-89 Штангенциркули. Технические условия</w:t>
      </w:r>
    </w:p>
    <w:p w:rsidR="00237D2D" w:rsidRDefault="00237D2D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ГОСТ 380-2005 Сталь углеродистая обыкновенного качества. Марки</w:t>
      </w:r>
    </w:p>
    <w:p w:rsidR="00237D2D" w:rsidRDefault="00B4029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427-75 Линейки измерительные металлические. Технические условия</w:t>
      </w:r>
    </w:p>
    <w:p w:rsidR="00B4029C" w:rsidRDefault="00B4029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5915-70 Гайки шестигранные класса точности В. Конструкции и размеры</w:t>
      </w:r>
    </w:p>
    <w:p w:rsidR="00B4029C" w:rsidRDefault="00B4029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7502-98 Рулетки измерительные металлические. Технические условия</w:t>
      </w:r>
    </w:p>
    <w:p w:rsidR="00B4029C" w:rsidRDefault="00B4029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7798-70 Болты с шестигранной головкой класса точности В. Конструкции и размеры</w:t>
      </w:r>
    </w:p>
    <w:p w:rsidR="00B4029C" w:rsidRDefault="00B4029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7802-81 Болты с увеличенной полукруглой головкой и квадратным подголовком класса точности С. Конструкции и размеры</w:t>
      </w:r>
    </w:p>
    <w:p w:rsidR="00B4029C" w:rsidRDefault="00B4029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11371-78 Шайбы. Технические условия</w:t>
      </w:r>
    </w:p>
    <w:p w:rsidR="00B4029C" w:rsidRDefault="00B4029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14192-96 Маркировка грузов</w:t>
      </w:r>
    </w:p>
    <w:p w:rsidR="00B4029C" w:rsidRDefault="00B4029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14771-76 Дуговая сварка в защитном газе.</w:t>
      </w:r>
      <w:r w:rsidR="00DE75EC">
        <w:rPr>
          <w:rFonts w:ascii="Times New Roman" w:hAnsi="Times New Roman" w:cs="Times New Roman"/>
          <w:sz w:val="28"/>
          <w:szCs w:val="28"/>
        </w:rPr>
        <w:t xml:space="preserve"> Соединения сварные. Основные типы, конструктивные элементы и размеры</w:t>
      </w:r>
    </w:p>
    <w:p w:rsidR="00DE75EC" w:rsidRDefault="00DE75E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15150-69 Машины, приборы и другие технические изделия. Исполнения для различных климатических районов. Категории, условия эксплуатации, хранения и транспортирования в части воздействия климатических факторов внешней среды</w:t>
      </w:r>
    </w:p>
    <w:p w:rsidR="00DE75EC" w:rsidRDefault="00DE75E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18160-72 Изделия крепежные. Упаковка. Маркировка. Транспортирование и хранение</w:t>
      </w:r>
    </w:p>
    <w:p w:rsidR="00DE75EC" w:rsidRDefault="00DE75E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19903-74 Прокат листовой горячекатаный. Сортамент</w:t>
      </w:r>
    </w:p>
    <w:p w:rsidR="00DE75EC" w:rsidRDefault="00DE75E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23118-99 Конструкции стальные строительные. Общие техни</w:t>
      </w:r>
      <w:r w:rsidR="00AF4729">
        <w:rPr>
          <w:rFonts w:ascii="Times New Roman" w:hAnsi="Times New Roman" w:cs="Times New Roman"/>
          <w:sz w:val="28"/>
          <w:szCs w:val="28"/>
        </w:rPr>
        <w:t>-ч</w:t>
      </w:r>
      <w:r>
        <w:rPr>
          <w:rFonts w:ascii="Times New Roman" w:hAnsi="Times New Roman" w:cs="Times New Roman"/>
          <w:sz w:val="28"/>
          <w:szCs w:val="28"/>
        </w:rPr>
        <w:t>еские условия</w:t>
      </w:r>
    </w:p>
    <w:p w:rsidR="00DE75EC" w:rsidRDefault="00DE75E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24297-87 Входной контроль продукции. Основные положения</w:t>
      </w:r>
    </w:p>
    <w:p w:rsidR="00DE75EC" w:rsidRDefault="00DE75E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25347-82 Основные нормы взаимозаменяемости. ЕСДП. Поля</w:t>
      </w:r>
      <w:r w:rsidR="00AF4729">
        <w:rPr>
          <w:rFonts w:ascii="Times New Roman" w:hAnsi="Times New Roman" w:cs="Times New Roman"/>
          <w:sz w:val="28"/>
          <w:szCs w:val="28"/>
        </w:rPr>
        <w:t xml:space="preserve"> допусков и рекомендуемые посадки</w:t>
      </w:r>
    </w:p>
    <w:p w:rsidR="00AF4729" w:rsidRDefault="00AF4729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ГОСТ Р 50971-96 Технические средства организации дорожного движения. Световозвращатели дорожные. Общие технические требования. Правила применения</w:t>
      </w:r>
    </w:p>
    <w:p w:rsidR="00AF4729" w:rsidRDefault="00AF4729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Р 52289-2004 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</w:t>
      </w:r>
    </w:p>
    <w:p w:rsidR="00AF4729" w:rsidRDefault="00AF4729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Р 52606-2006 Технические средства организации дорожного движения. Классификация дорожных ограждений</w:t>
      </w:r>
    </w:p>
    <w:p w:rsidR="00AF4729" w:rsidRDefault="00AF4729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ГОСТ Р </w:t>
      </w:r>
      <w:r w:rsidR="00950F2B">
        <w:rPr>
          <w:rFonts w:ascii="Times New Roman" w:hAnsi="Times New Roman" w:cs="Times New Roman"/>
          <w:sz w:val="28"/>
          <w:szCs w:val="28"/>
        </w:rPr>
        <w:t>52607-2006 Технические средства организации дорожного движения. Ограждения дорожные удерживающие боковые для автомобилей. Общие технические требования</w:t>
      </w:r>
    </w:p>
    <w:p w:rsidR="00950F2B" w:rsidRDefault="00950F2B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Р 52721-2007 Технические средства организации дорожного движения. Методы испытаний дорожных о</w:t>
      </w:r>
      <w:r w:rsidR="000C2115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>раждений</w:t>
      </w:r>
      <w:r w:rsidR="000C2115">
        <w:rPr>
          <w:rFonts w:ascii="Times New Roman" w:hAnsi="Times New Roman" w:cs="Times New Roman"/>
          <w:sz w:val="28"/>
          <w:szCs w:val="28"/>
        </w:rPr>
        <w:t>.</w:t>
      </w:r>
    </w:p>
    <w:p w:rsidR="000C2115" w:rsidRDefault="000C2115" w:rsidP="000C211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 Термины и определения</w:t>
      </w:r>
    </w:p>
    <w:p w:rsidR="000C2115" w:rsidRDefault="000C2115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настоящем стандарте организации применены следующие т</w:t>
      </w:r>
      <w:r w:rsidR="0059291C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рмины</w:t>
      </w:r>
      <w:r w:rsidR="0059291C">
        <w:rPr>
          <w:rFonts w:ascii="Times New Roman" w:hAnsi="Times New Roman" w:cs="Times New Roman"/>
          <w:sz w:val="28"/>
          <w:szCs w:val="28"/>
        </w:rPr>
        <w:t xml:space="preserve">  с соответствующими определениями:</w:t>
      </w:r>
    </w:p>
    <w:p w:rsidR="0059291C" w:rsidRDefault="0059291C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3.1 балка ограждения: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онструктивный элемент ограждения, предназначенный для восприятия, распределения и передачи нагрузки от вступившего в контакт с ограждением транспортного средства на другие элементы ограждения или непосредственно на полотно дороги (мостового сооружения). Балки могут располагаться в несколько ярусов по высоте и иметь различную конфигурацию.</w:t>
      </w:r>
    </w:p>
    <w:p w:rsidR="0059291C" w:rsidRDefault="0059291C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3.2 высота ограждения:</w:t>
      </w:r>
      <w:r w:rsidR="002B1E3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асстояние от поверхности проезжей части до верхнего края балки барьерного ограждения.</w:t>
      </w:r>
    </w:p>
    <w:p w:rsidR="0059291C" w:rsidRDefault="0059291C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3.3 консоль: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 xml:space="preserve"> Э</w:t>
      </w:r>
      <w:r>
        <w:rPr>
          <w:rFonts w:ascii="Times New Roman" w:hAnsi="Times New Roman" w:cs="Times New Roman"/>
          <w:sz w:val="28"/>
          <w:szCs w:val="28"/>
        </w:rPr>
        <w:t>лемент ограждения, расположенный между стойкой и балкой, главная функция которого – предотвращение непосредственного контакта автомобиля со стойками ограждения (консоль может быть жесткая и деформируемая или консоль-амортизатор)</w:t>
      </w:r>
    </w:p>
    <w:p w:rsidR="0059291C" w:rsidRDefault="0059291C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3.4 ограждение барьерное: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граждение, состоящее из балок и стоек</w:t>
      </w:r>
    </w:p>
    <w:p w:rsidR="0059291C" w:rsidRDefault="0059291C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3.5 ограждение одностороннее</w:t>
      </w:r>
      <w:r w:rsidR="00533CF6">
        <w:rPr>
          <w:rFonts w:ascii="Times New Roman" w:hAnsi="Times New Roman" w:cs="Times New Roman"/>
          <w:b/>
          <w:sz w:val="28"/>
          <w:szCs w:val="28"/>
        </w:rPr>
        <w:t xml:space="preserve"> (двустороннее):</w:t>
      </w:r>
      <w:r w:rsidR="00533CF6"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О</w:t>
      </w:r>
      <w:r w:rsidR="00533CF6">
        <w:rPr>
          <w:rFonts w:ascii="Times New Roman" w:hAnsi="Times New Roman" w:cs="Times New Roman"/>
          <w:sz w:val="28"/>
          <w:szCs w:val="28"/>
        </w:rPr>
        <w:t>граждение, предназначенное для удерживания наехавших автомобилей с одной его стороны (с двух сторон)</w:t>
      </w:r>
    </w:p>
    <w:p w:rsidR="00533CF6" w:rsidRDefault="00533CF6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3.6 ограждение дорожное: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стройство, предназначенное для предотвращения съезда транспортного средства с обочины и мостового сооружения</w:t>
      </w:r>
      <w:r w:rsidR="00CC4563">
        <w:rPr>
          <w:rFonts w:ascii="Times New Roman" w:hAnsi="Times New Roman" w:cs="Times New Roman"/>
          <w:sz w:val="28"/>
          <w:szCs w:val="28"/>
        </w:rPr>
        <w:t xml:space="preserve"> (моста, путепровода, эстакады и т.п.), переезда через разделительную полосу, столкновения со встречным транспортным средством, наезда на массивные препятствия и сооружения, расположенные на обочине и в полосе отвода дороги, на разделительной полосе (удерживающее ограждение для транспортных средств), падения пешеходов с мостового  сооружения или насыпи (удерживающее ограждение для пешеходов), а также для упорядочения движения пешеходов и предотвращения выхода животных на проезжую часть (ограничивающие ограждения)</w:t>
      </w:r>
    </w:p>
    <w:p w:rsidR="00CC4563" w:rsidRDefault="00CC4563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3.7 ограждение дорожное боковое: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граждение, расположенное</w:t>
      </w:r>
      <w:r w:rsidR="00BB573D">
        <w:rPr>
          <w:rFonts w:ascii="Times New Roman" w:hAnsi="Times New Roman" w:cs="Times New Roman"/>
          <w:sz w:val="28"/>
          <w:szCs w:val="28"/>
        </w:rPr>
        <w:t xml:space="preserve"> вдоль проезжей части дороги. Удерживают автомобиль и корректируют траекторию его движения при боковом ударе под острым углом к оси ограждения</w:t>
      </w:r>
    </w:p>
    <w:p w:rsidR="00BB573D" w:rsidRDefault="00BB573D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3.8 ограждение дорожное фронтальное: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граждение, которое удерживает автомобиль и гасит энергию движения автомобиля при ударе как сбоку, так и о торец ограждения под углом, близким к 90</w:t>
      </w:r>
      <w:r w:rsidR="002B1E38">
        <w:rPr>
          <w:rFonts w:ascii="Times New Roman" w:hAnsi="Times New Roman" w:cs="Times New Roman"/>
          <w:sz w:val="28"/>
          <w:szCs w:val="28"/>
        </w:rPr>
        <w:t>º</w:t>
      </w:r>
    </w:p>
    <w:p w:rsidR="00BB573D" w:rsidRDefault="00BB573D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3.9 ограждение мостовое: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граждение, устанавливаемое на мостовом полотне</w:t>
      </w:r>
    </w:p>
    <w:p w:rsidR="00BB573D" w:rsidRDefault="00BB573D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3.10 прогиб ограждения: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аибольшее горизонтальное смещение продольной оси балки ограждения в поперечном направлении относительно оси недеформированного ограждения при наезде автомобиля на ограждение</w:t>
      </w:r>
    </w:p>
    <w:p w:rsidR="00BB573D" w:rsidRDefault="00BB573D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3.11 рабочая ширина: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>аксимальное динамическое боковое смещение кузова автомобиля, находящегося в нем груза или фрагмента ограждения (в зависимости от места установки ограждения) относительно лицевой поверхности балки недеформированного ограждения</w:t>
      </w:r>
    </w:p>
    <w:p w:rsidR="00BB573D" w:rsidRDefault="00BB573D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3.12 стойка: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ертикальный элемент ограждения, закрепленный в земляном полотне</w:t>
      </w:r>
      <w:r w:rsidR="00BD4CCC">
        <w:rPr>
          <w:rFonts w:ascii="Times New Roman" w:hAnsi="Times New Roman" w:cs="Times New Roman"/>
          <w:sz w:val="28"/>
          <w:szCs w:val="28"/>
        </w:rPr>
        <w:t xml:space="preserve"> или на плите проезжей части мостового сооружения, главная функция </w:t>
      </w:r>
      <w:r w:rsidR="002B1E38">
        <w:rPr>
          <w:rFonts w:ascii="Times New Roman" w:hAnsi="Times New Roman" w:cs="Times New Roman"/>
          <w:sz w:val="28"/>
          <w:szCs w:val="28"/>
        </w:rPr>
        <w:t xml:space="preserve">которого </w:t>
      </w:r>
      <w:r w:rsidR="00BD4CCC">
        <w:rPr>
          <w:rFonts w:ascii="Times New Roman" w:hAnsi="Times New Roman" w:cs="Times New Roman"/>
          <w:sz w:val="28"/>
          <w:szCs w:val="28"/>
        </w:rPr>
        <w:t>– передача нагрузки от ограждения полотну дороги</w:t>
      </w:r>
    </w:p>
    <w:p w:rsidR="00BD4CCC" w:rsidRDefault="00BD4CCC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3.13 удерживающая способность (энергоемкость) ограждения: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пособность ограждения удерживать транспортные  средства на дороге и мостовом сооружении, предотвращая их опрокидывание или переезд через ограждение. Показателем удерживающей способности является кинетическая энергия транспортного средства, определяемая с учетом его массы, угла наезда и поперечной составляющей скорости движения</w:t>
      </w:r>
      <w:r w:rsidR="002B1E38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 xml:space="preserve">и характеризующая </w:t>
      </w:r>
      <w:r>
        <w:rPr>
          <w:rFonts w:ascii="Times New Roman" w:hAnsi="Times New Roman" w:cs="Times New Roman"/>
          <w:sz w:val="28"/>
          <w:szCs w:val="28"/>
        </w:rPr>
        <w:t>энерги</w:t>
      </w:r>
      <w:r w:rsidR="002B1E38"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 xml:space="preserve"> бокового удара, выдерживаем</w:t>
      </w:r>
      <w:r w:rsidR="002B1E38">
        <w:rPr>
          <w:rFonts w:ascii="Times New Roman" w:hAnsi="Times New Roman" w:cs="Times New Roman"/>
          <w:sz w:val="28"/>
          <w:szCs w:val="28"/>
        </w:rPr>
        <w:t>ую</w:t>
      </w:r>
      <w:r>
        <w:rPr>
          <w:rFonts w:ascii="Times New Roman" w:hAnsi="Times New Roman" w:cs="Times New Roman"/>
          <w:sz w:val="28"/>
          <w:szCs w:val="28"/>
        </w:rPr>
        <w:t xml:space="preserve"> рабочим участком ограждения при заданной величине динамического прогиба</w:t>
      </w:r>
    </w:p>
    <w:p w:rsidR="00F52C53" w:rsidRDefault="00F52C53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3.14 уровни удерживающей способности: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иапазоны значени</w:t>
      </w:r>
      <w:r w:rsidR="002B1E38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кинетической энергии, по которым выбирают конструкции ограждений для применения в тех или иных дорожных условиях</w:t>
      </w:r>
    </w:p>
    <w:p w:rsidR="00F52C53" w:rsidRDefault="00F52C53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3.15 участок ограждения рабочий: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сновная часть бокового ограждения, предназначенная для принятия ударных нагрузок и передачи усилий на начальный и концевой участки</w:t>
      </w:r>
    </w:p>
    <w:p w:rsidR="00F52C53" w:rsidRDefault="00F52C53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3.16 участок ограждения начальный: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ополнительная часть ограждения, расположенная перед рабочим участком ограждения (по ходу движения автомобиля) на земляном полотне дороги и предназначенная для принятия продольного усилия при наезде автомобиля на рабочий участок ограждения</w:t>
      </w:r>
    </w:p>
    <w:p w:rsidR="00F52C53" w:rsidRDefault="00F52C53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3.17 участок ограждения концевой: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ополнительная часть ограж-дения, расположенная после рабочего участка ограждения</w:t>
      </w:r>
    </w:p>
    <w:p w:rsidR="00F52C53" w:rsidRDefault="00F52C53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3.18 участок ограждения переходный: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Ч</w:t>
      </w:r>
      <w:r>
        <w:rPr>
          <w:rFonts w:ascii="Times New Roman" w:hAnsi="Times New Roman" w:cs="Times New Roman"/>
          <w:sz w:val="28"/>
          <w:szCs w:val="28"/>
        </w:rPr>
        <w:t>асть ограждения, предназначенная для соединения ограждений, установленных на обочине или разделительной полосе, с ограждениями, установленными на мостовом сооружении, а также для соединения участков односторонних и двусторонних ог</w:t>
      </w:r>
      <w:r w:rsidR="00863C1C">
        <w:rPr>
          <w:rFonts w:ascii="Times New Roman" w:hAnsi="Times New Roman" w:cs="Times New Roman"/>
          <w:sz w:val="28"/>
          <w:szCs w:val="28"/>
        </w:rPr>
        <w:t>ра</w:t>
      </w:r>
      <w:r>
        <w:rPr>
          <w:rFonts w:ascii="Times New Roman" w:hAnsi="Times New Roman" w:cs="Times New Roman"/>
          <w:sz w:val="28"/>
          <w:szCs w:val="28"/>
        </w:rPr>
        <w:t>ждений на разделительной полосе</w:t>
      </w:r>
    </w:p>
    <w:p w:rsidR="00F52C53" w:rsidRDefault="00F52C53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3.19 участок ограждения сопрягающий: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Ч</w:t>
      </w:r>
      <w:r>
        <w:rPr>
          <w:rFonts w:ascii="Times New Roman" w:hAnsi="Times New Roman" w:cs="Times New Roman"/>
          <w:sz w:val="28"/>
          <w:szCs w:val="28"/>
        </w:rPr>
        <w:t>асть ограждения, предназначенная</w:t>
      </w:r>
      <w:r w:rsidR="00863C1C">
        <w:rPr>
          <w:rFonts w:ascii="Times New Roman" w:hAnsi="Times New Roman" w:cs="Times New Roman"/>
          <w:sz w:val="28"/>
          <w:szCs w:val="28"/>
        </w:rPr>
        <w:t xml:space="preserve"> для соединения ограждения, установленного на основной дороге с ограждением на съездах транспортных развязок, а также для соединения участков с различной удерживающей способностью</w:t>
      </w:r>
    </w:p>
    <w:p w:rsidR="00863C1C" w:rsidRDefault="00863C1C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3.20 шаг стоек: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асстояние между точками пересечения продольных осей соседних стоек с поверхностью дороги</w:t>
      </w:r>
    </w:p>
    <w:p w:rsidR="00863C1C" w:rsidRDefault="00863C1C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3.21 элемент ограждения: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борочная единица или деталь ограждения</w:t>
      </w:r>
    </w:p>
    <w:p w:rsidR="00B30B87" w:rsidRDefault="00B30B87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3.22 ярусы балки: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>алки, расположенные на разной высоте.</w:t>
      </w:r>
    </w:p>
    <w:p w:rsidR="00B30B87" w:rsidRDefault="00B30B87" w:rsidP="00B30B8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 Основные положения</w:t>
      </w:r>
    </w:p>
    <w:p w:rsidR="00B30B87" w:rsidRDefault="00B30B87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4.1 Металлические барьерные ограждения (далее ограждения) устанавливают на автомобильных дорогах и улицах для предотвращения вынужденных съездов автомобилей с дороги, падений с мостов, путепроводов, эстакад, переездов разделительной полосы, наездов на массивные препятствия, а так же для упорядочения движения пешеходов.</w:t>
      </w:r>
    </w:p>
    <w:p w:rsidR="00B30B87" w:rsidRDefault="00B30B87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4.2 Участки для установки ограждений на автомобильной дороге (улице) должны быть определены в соответствии с требованиями ГОСТ Р 52289-2004, а места расположения различных конструкций ограждений должны быть указаны в проекте.</w:t>
      </w:r>
    </w:p>
    <w:p w:rsidR="00B30B87" w:rsidRDefault="00B30B87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4.3 Для применения на автомобильных дорогах (улицах) допускаются конструкции ограждений, изготовление которых осуществляется по </w:t>
      </w:r>
      <w:r>
        <w:rPr>
          <w:rFonts w:ascii="Times New Roman" w:hAnsi="Times New Roman" w:cs="Times New Roman"/>
          <w:sz w:val="28"/>
          <w:szCs w:val="28"/>
        </w:rPr>
        <w:lastRenderedPageBreak/>
        <w:t>разработанным стандартам и техническим условиям, согласованным в установленном порядке, а у изготовителей ограждений имеются другие обязательные документы, подтверждающие обоснованность объявленных ими характеристик ограждений.</w:t>
      </w:r>
    </w:p>
    <w:p w:rsidR="00B30B87" w:rsidRDefault="00B30B87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4.4 На каждом участке дороги, где следует устанавливать ограждение, его удерживающая способность, максимальный прогиб, рабочая ширина и высота должны соответствовать требованиям ГОСТ Р 52289-2004.</w:t>
      </w:r>
    </w:p>
    <w:p w:rsidR="00B30B87" w:rsidRDefault="00900993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4.5 Применяемые конструкции ограждений могут отличаться следующими структурными элементами:</w:t>
      </w:r>
    </w:p>
    <w:p w:rsidR="00900993" w:rsidRDefault="00900993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конструкциями стоек, имеющих разную длину и профили в виде швеллера, сдвоенного швеллера или профиля в виде буквы «сигма»;</w:t>
      </w:r>
    </w:p>
    <w:p w:rsidR="00900993" w:rsidRDefault="00900993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конструкциями консолей, имеющих разную ширину, высоту и профили в виде стандартного швеллера, гнутого швеллера или в виде сварного объемного элемента;</w:t>
      </w:r>
    </w:p>
    <w:p w:rsidR="00900993" w:rsidRDefault="00900993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наличием дополнительных балок: противоподкатных – в нижней части ограждения и распределяющих нагрузку – на тыльной стороне одностороннего ограждения;</w:t>
      </w:r>
    </w:p>
    <w:p w:rsidR="00900993" w:rsidRDefault="00900993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количеством ярусов у ограждений, рассчитываемым по количеству балок, размещаемых с одной стороны от стойки на разной высоте (одноярусные или двух</w:t>
      </w:r>
      <w:r w:rsidR="002B1E38">
        <w:rPr>
          <w:rFonts w:ascii="Times New Roman" w:hAnsi="Times New Roman" w:cs="Times New Roman"/>
          <w:sz w:val="28"/>
          <w:szCs w:val="28"/>
        </w:rPr>
        <w:t>ъ</w:t>
      </w:r>
      <w:r>
        <w:rPr>
          <w:rFonts w:ascii="Times New Roman" w:hAnsi="Times New Roman" w:cs="Times New Roman"/>
          <w:sz w:val="28"/>
          <w:szCs w:val="28"/>
        </w:rPr>
        <w:t>ярусные ограждения);</w:t>
      </w:r>
    </w:p>
    <w:p w:rsidR="00900993" w:rsidRDefault="00900993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расположением балок относительно стойки: с одной стороны от стойки – одностороннее ограждение; с двух сторон от стойки – двустороннее ограждение;</w:t>
      </w:r>
    </w:p>
    <w:p w:rsidR="00900993" w:rsidRDefault="00900993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наличием дополнительного крепежного элемента для соединения балки с консолью или его отсутствием;</w:t>
      </w:r>
    </w:p>
    <w:p w:rsidR="00900993" w:rsidRDefault="00900993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4A697C">
        <w:rPr>
          <w:rFonts w:ascii="Times New Roman" w:hAnsi="Times New Roman" w:cs="Times New Roman"/>
          <w:sz w:val="28"/>
          <w:szCs w:val="28"/>
        </w:rPr>
        <w:t>закреплением</w:t>
      </w:r>
      <w:r w:rsidR="00DC1D27">
        <w:rPr>
          <w:rFonts w:ascii="Times New Roman" w:hAnsi="Times New Roman" w:cs="Times New Roman"/>
          <w:sz w:val="28"/>
          <w:szCs w:val="28"/>
        </w:rPr>
        <w:t xml:space="preserve"> к стойке на каждом из ярусов разных балок и консолей;</w:t>
      </w:r>
    </w:p>
    <w:p w:rsidR="00DC1D27" w:rsidRDefault="00DC1D27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закреплением стойки к основанию (погружение стойки в пробуренную скважину, забивка стойки копром в грунт, крепление стойки к бетонному фундаменту с помощью болтовых соединений.</w:t>
      </w:r>
    </w:p>
    <w:p w:rsidR="00DC1D27" w:rsidRDefault="00DC1D27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4.6 Для каждой из конструкций ограждений в технических условиях на это изделие должна быть описана последовательность выполнения строительных работ по установке ограждения и это описание должно являться дополнением к настоящему стандарту.</w:t>
      </w:r>
    </w:p>
    <w:p w:rsidR="00DC1D27" w:rsidRDefault="00DC1D27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4.7 Ограждения должны быть непрерывными и состоять из начального, рабочего (рабочих) и концевого участков. Для соединения</w:t>
      </w:r>
      <w:r w:rsidR="00FE29AB">
        <w:rPr>
          <w:rFonts w:ascii="Times New Roman" w:hAnsi="Times New Roman" w:cs="Times New Roman"/>
          <w:sz w:val="28"/>
          <w:szCs w:val="28"/>
        </w:rPr>
        <w:t xml:space="preserve"> рабочих участков между собой следует применять переходные и сопрягающие участки.</w:t>
      </w:r>
    </w:p>
    <w:p w:rsidR="00FE29AB" w:rsidRDefault="00FE29AB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4.8</w:t>
      </w:r>
      <w:r w:rsidR="00F32745">
        <w:rPr>
          <w:rFonts w:ascii="Times New Roman" w:hAnsi="Times New Roman" w:cs="Times New Roman"/>
          <w:sz w:val="28"/>
          <w:szCs w:val="28"/>
        </w:rPr>
        <w:t xml:space="preserve"> Переходные участки следует применять для соединения рабочих участков дорожных и мостовых, односторонних и двусторонних ограждений, а также барьерных парапетных ограждений.</w:t>
      </w:r>
    </w:p>
    <w:p w:rsidR="00F32745" w:rsidRDefault="00F32745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4.9 Сопрягающие участки следует применять для соединения барьерного ограждения основной дороги с ограждением на съездах транспортных развязок и участков ограждений с различной удерживающей способностью.</w:t>
      </w:r>
    </w:p>
    <w:p w:rsidR="00F32745" w:rsidRDefault="00F32745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4.10 Начальный и концевой участки ограждений дорожной группы, устанавливаемых на обочине, должны иметь отгон не менее 1:20 к бровке земляного полотна. При этом балки волнистого профиля должны понижаться до поверхности дороги. Понижение высоты следует достигать за счет различного углубления стоек дорожных</w:t>
      </w:r>
      <w:r w:rsidR="002B1E38">
        <w:rPr>
          <w:rFonts w:ascii="Times New Roman" w:hAnsi="Times New Roman" w:cs="Times New Roman"/>
          <w:sz w:val="28"/>
          <w:szCs w:val="28"/>
        </w:rPr>
        <w:t xml:space="preserve"> ограждений</w:t>
      </w:r>
      <w:r>
        <w:rPr>
          <w:rFonts w:ascii="Times New Roman" w:hAnsi="Times New Roman" w:cs="Times New Roman"/>
          <w:sz w:val="28"/>
          <w:szCs w:val="28"/>
        </w:rPr>
        <w:t xml:space="preserve"> в земляное полотно дороги.</w:t>
      </w:r>
    </w:p>
    <w:p w:rsidR="00F32745" w:rsidRDefault="00F32745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4.11 Начальный и концевой участки ограждений дорожной группы, устанавливаемых на разделительной полосе, должны понижаться до поверхности дороги с уклоном не  менее 1:10. Марка стойки должна быть такая же, как на рабочем участке. Понижение высоты должно достигаться </w:t>
      </w:r>
      <w:r>
        <w:rPr>
          <w:rFonts w:ascii="Times New Roman" w:hAnsi="Times New Roman" w:cs="Times New Roman"/>
          <w:sz w:val="28"/>
          <w:szCs w:val="28"/>
        </w:rPr>
        <w:lastRenderedPageBreak/>
        <w:t>за счет различного углубления стоек</w:t>
      </w:r>
      <w:r w:rsidR="00FF0702">
        <w:rPr>
          <w:rFonts w:ascii="Times New Roman" w:hAnsi="Times New Roman" w:cs="Times New Roman"/>
          <w:sz w:val="28"/>
          <w:szCs w:val="28"/>
        </w:rPr>
        <w:t xml:space="preserve"> дорожных в земляное полотно дороги. Односторонние ограждения следует сближать к оси разделительной полосы.</w:t>
      </w:r>
    </w:p>
    <w:p w:rsidR="00FF0702" w:rsidRDefault="00FF0702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4.12 На поверхности и сопрягающих участках мостовых и дорожных ограждений, дорожных ограждений с различной высотой выравнивание разницы высоты должно осуществляться в пределах трех секций балки, при этом шаг стоек должен быть таким же</w:t>
      </w:r>
      <w:r w:rsidR="002B1E38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как  на рабочем участке с наибольшей удерживающей способностью.</w:t>
      </w:r>
    </w:p>
    <w:p w:rsidR="00FF0702" w:rsidRDefault="00FF0702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Выравнивание разницы высот рабочих участков ограждений на переходном сопрягающей участке следует достигать за счет различного углубления стоек ограждений в земляное полотно дороги.</w:t>
      </w:r>
    </w:p>
    <w:p w:rsidR="00FF0702" w:rsidRDefault="00FF0702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4.13 В местах технологических разрывов (не более 2 метров) раздели-тельной полосы, на участках сопряжения барьерного ограждения по основной дороге со съездами транспортных развязок следует применять радиусные балки или фронтальные ограждения с применением радиусных балок.</w:t>
      </w:r>
    </w:p>
    <w:p w:rsidR="00FF0702" w:rsidRDefault="00FF0702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4.14 Переходные участки для соединения барьерных и парапетных ограждений должны быть разработаны и изготовлены в индивидуальном порядке. Минимальная длина переходного элемента этого участка – 2 метра.</w:t>
      </w:r>
    </w:p>
    <w:p w:rsidR="00687FF5" w:rsidRDefault="00687FF5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4.15 Световозвращатель дорожный следует устанавливать в углублении ближайшей к земле волнистой балки по всей длине ограждения с интервалом 4,0 м для шагов 1,0 м и 2,0 м; и 4,5 м для шагов 1,5 м и 2,25 м следующим образом:</w:t>
      </w:r>
    </w:p>
    <w:p w:rsidR="00687FF5" w:rsidRDefault="00687FF5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 двухволновых балках – в углублении центральной части балки;</w:t>
      </w:r>
    </w:p>
    <w:p w:rsidR="003E58D6" w:rsidRDefault="00687FF5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 трехволновых балках – в углублении верхней части балки, если она является ближайшей к земле</w:t>
      </w:r>
      <w:r w:rsidR="003E58D6">
        <w:rPr>
          <w:rFonts w:ascii="Times New Roman" w:hAnsi="Times New Roman" w:cs="Times New Roman"/>
          <w:sz w:val="28"/>
          <w:szCs w:val="28"/>
        </w:rPr>
        <w:t>, и в углублении ее нижней части, если между ней и землей расположена балка неволнистого профиля.</w:t>
      </w:r>
    </w:p>
    <w:p w:rsidR="00687FF5" w:rsidRPr="00B30B87" w:rsidRDefault="003E58D6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4.16 На трехъярусных ограждениях, содержащих балки прямоуголь</w:t>
      </w:r>
      <w:r w:rsidR="00BC4DA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ного сечения, световозвращатель устанавливают на верхней грани средней балки, закрепляя его к специальной опоре.</w:t>
      </w:r>
      <w:r w:rsidR="00687FF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334D0" w:rsidRPr="007D4885" w:rsidRDefault="00F334D0" w:rsidP="00F334D0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5</w:t>
      </w:r>
      <w:r w:rsidR="00D972DF">
        <w:rPr>
          <w:rFonts w:ascii="Times New Roman" w:hAnsi="Times New Roman"/>
          <w:b/>
          <w:sz w:val="28"/>
          <w:szCs w:val="28"/>
        </w:rPr>
        <w:t xml:space="preserve"> Материалы.</w:t>
      </w:r>
      <w:bookmarkStart w:id="0" w:name="_GoBack"/>
      <w:bookmarkEnd w:id="0"/>
    </w:p>
    <w:p w:rsidR="00F334D0" w:rsidRPr="00775E1B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75E1B">
        <w:rPr>
          <w:rFonts w:ascii="Times New Roman" w:hAnsi="Times New Roman"/>
          <w:sz w:val="28"/>
          <w:szCs w:val="28"/>
        </w:rPr>
        <w:t>5.1 Все элементы дорожного ограждения (стойки дорожных и мосто</w:t>
      </w:r>
      <w:r>
        <w:rPr>
          <w:rFonts w:ascii="Times New Roman" w:hAnsi="Times New Roman"/>
          <w:sz w:val="28"/>
          <w:szCs w:val="28"/>
        </w:rPr>
        <w:t>-</w:t>
      </w:r>
      <w:r w:rsidRPr="00775E1B">
        <w:rPr>
          <w:rFonts w:ascii="Times New Roman" w:hAnsi="Times New Roman"/>
          <w:sz w:val="28"/>
          <w:szCs w:val="28"/>
        </w:rPr>
        <w:t>вых, секции балок волнистого и неволнистого профиля, консоли, гурты, связи диагональные, стабилизаторы, шайба, пластина и скоба) следует изготавливать из стали С245 по ГОСТ 27772-88. Сортамент: лист по ГОСТ 19903 и двутавр по ГОСТ 8240.</w:t>
      </w:r>
    </w:p>
    <w:p w:rsidR="00F334D0" w:rsidRPr="00775E1B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5.2 </w:t>
      </w:r>
      <w:r w:rsidRPr="00775E1B">
        <w:rPr>
          <w:rFonts w:ascii="Times New Roman" w:hAnsi="Times New Roman"/>
          <w:sz w:val="28"/>
          <w:szCs w:val="28"/>
        </w:rPr>
        <w:t>Все сварные соединения следует выполнять согласно ГОСТ 23118, СП 53-101, ГОСТ 14771.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75E1B">
        <w:rPr>
          <w:rFonts w:ascii="Times New Roman" w:hAnsi="Times New Roman"/>
          <w:sz w:val="28"/>
          <w:szCs w:val="28"/>
        </w:rPr>
        <w:t xml:space="preserve">5.3 </w:t>
      </w:r>
      <w:r>
        <w:rPr>
          <w:rFonts w:ascii="Times New Roman" w:hAnsi="Times New Roman"/>
          <w:sz w:val="28"/>
          <w:szCs w:val="28"/>
        </w:rPr>
        <w:t>Для соединения элементов ограждения следует применять болты, гайки и шайбы, указанные в схемах сборки согласно технических условий на барьерное ограждение конкретного производителя. Класс прочности – не менее 5.6.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5.4 Все основные элементы ограждений должны быть защищены от коррозии методо</w:t>
      </w:r>
      <w:r w:rsidR="002B1E38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 xml:space="preserve"> горячего цинкования по ГОСТ 9.307 толщиной слоя 50-100 мкм.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5.5 Мелкие детали, а также крепежные изделия должны быть защищены от коррозии методо</w:t>
      </w:r>
      <w:r w:rsidR="002B1E38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 xml:space="preserve"> горячего цинкования по ОСТ 9.307 толщиной слоя не менее 30 мкм.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5.6 Методы защиты </w:t>
      </w:r>
      <w:r w:rsidR="002B1E38"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т коррозии могут быть разные, но все они должны быть чётко прописаны в технических условиях на барьерное ограждение.</w:t>
      </w:r>
    </w:p>
    <w:p w:rsidR="00F334D0" w:rsidRDefault="00F334D0" w:rsidP="00F334D0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6 </w:t>
      </w:r>
      <w:r w:rsidRPr="007D4885">
        <w:rPr>
          <w:rFonts w:ascii="Times New Roman" w:hAnsi="Times New Roman"/>
          <w:b/>
          <w:sz w:val="28"/>
          <w:szCs w:val="28"/>
        </w:rPr>
        <w:t>Технология устройства барьерного ограждения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6.1 Общие указания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6.1.1 Строительно-монтажные работы по установке ограждений должны производиться при наличии утвержденного проекта производства </w:t>
      </w:r>
      <w:r>
        <w:rPr>
          <w:rFonts w:ascii="Times New Roman" w:hAnsi="Times New Roman"/>
          <w:sz w:val="28"/>
          <w:szCs w:val="28"/>
        </w:rPr>
        <w:lastRenderedPageBreak/>
        <w:t>работ, учитывающего требования, технических условий, ГОСТ Р 52289, ГОСТ 23118, СП 53-101 в соответствии с инструкцией по монтажу ограждения.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6.1.2 Перед установкой ограждений должны быть выполнены следующие работы: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произведена плановая разбивка местоположения устанавливаемых ограждений;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выполнены работы по устройству асфальтобетонного покрытия и устройству (укреплению) обочин, если в этом есть необходимость.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6.1.3 Во время производства работ должны быть приняты меры к сохранению всех точек разбивки. Поврежденные в процессе работ точки необходимо восстанавливать силами строительного участка.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6.1.4 Установка ограждений осуществляется бригадой дорожных рабочих с применением: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фронтального погрузчика (или экскаватора-погрузчика);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сваебойного агрегата (при плотных грунтах - бурового агрегата);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автокрана;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бортового автомобиля;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передвижной компрессорной (или электро- ) станции;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пневмо-  или  электроинструмента.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После доставки конструктивных элементов ограждений, производится их разгрузка на приобъектном складе с применением крана.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Доставка элементов к месту монтажа осуществляется при помощи бортового автомобиля.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развозки и раскладки элементов ограждения по месту установки используется фронтальный погрузчик (или экскаватор-погрузчик).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6.2 Определение положения стоек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6.2.1 Положение стоек ограждения группы О в поперечном сечении дороги следует определять, исходя из следующих требований: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 расстояние от кромки ближайшей к ограждению проезжей части дороги до лицевой поверхности ограждения должно быть не менее 1,0м;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расстояние от бровки земляного полотна до стойки ограждения должно быть не менее 0,5м;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6.2.2 Интенсивность отгона рабочего участка дорожного ограждения относительно кромки проезжей части дороги может быть не более 1:50</w:t>
      </w:r>
      <w:r w:rsidR="002B1E38">
        <w:rPr>
          <w:rFonts w:ascii="Times New Roman" w:hAnsi="Times New Roman"/>
          <w:sz w:val="28"/>
          <w:szCs w:val="28"/>
        </w:rPr>
        <w:t>, а</w:t>
      </w:r>
      <w:r>
        <w:rPr>
          <w:rFonts w:ascii="Times New Roman" w:hAnsi="Times New Roman"/>
          <w:sz w:val="28"/>
          <w:szCs w:val="28"/>
        </w:rPr>
        <w:t xml:space="preserve"> начального и конечного участков не более 1:20.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6.3 Установка стоек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6.3.1 Дорожные стойки следует устанавливать в цилиндрические скважины диаметром не более 250 мм, предварительно выбуренные в полностью уплотнённом полотне дороги.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6.3.2 Бурение осуществляется при помощи бурильной установки (машины), а добуривание скважин – ручным буром.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6.3.3 При избыточной глубине пробуренной скважины осуществля-ется досыпка грунта в скважину и уплотнение грунта для достижения точной глубины скважины.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6.3.4 Глубина скважины при установке дорожных стоек должна быть на 100-150мм меньше длины заглубляемой части стойки.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6.3.5 Если грунт земляного полотна в месте установки стоек ограждений не является скальным грунтом или не содержит камни, валуны, остатки железобетонных конструкций, используют навесные и самоходные установки для забивки стоек в грунт.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6.3.6 Установку стойки в вертикальное положение и её верхнего торца на наружной высоте, следует выполнять одновременно с обратной засыпкой и уплотнением грунта в скважине.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6.3.7 Допустимые отклонения высоты устанавливаемых стоек относительно поверхности земли или укрепленной поверхности тротуара должны находиться в пределах  ± 10мм.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6.4 Установка консолей, секций балок, связей анкерных, вставок телескопических, переходных элементов, концевых элементов и световозвращателей.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6.4.1 Установку консолей – амортизаторов на стойки следует выполнять, со стороны направления движения с последующим креплением их, при помощи болтов ГОСТ 7798-70 с гайками ГОСТ 5915-70 и шайбами ГОСТ 11371-78 в соответствии с чертежами.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6.4.2 Соединение секций балок с консолями осуществляется болтами ГОСТ 7802-81, гайками ГОСТ 5915-70 и шайбами ГОСТ 11371-78.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6.4.3 Соединение секций балок между собой выполняется болтами ГОСТ 7802-81, гайками ГОСТ 5915-70 и шайбами ГОСТ 11371-78.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6.4.4 Световозвращатели устанавливают на секциях балок СБ с помощью болтов ГОСТ 7802-81, гаек ГОСТ 5915-70 и шайб ГОСТ 11371-78 или крепят к секциям балок при помощи кронштейнов болтами ГОСТ 7802-81, гайками ГОСТ 5915-70 и шайбами ГОСТ 11371-78.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6.5 Моменты затяжки болтовых соединений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6.5.1 Гайки болтовых соединений, обеспечивающие  крепление различных элементов барьерных ограждений, должны быть затянуты до достижения следующих усилий: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болт М16 – 60 Нм – крепление световозвращателей;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болт М20 – 100-120 Нм – крепление основных элементов стоек;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болт М16 – 100-120 Нм – крепление секций балок;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болт М24 – 120-140 Нм – крепление стоек к закладным элементам.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6.5.2 В процессе монтажных работ постоянно контролируется плановое и высотное положение элементов металлического барьерного ограждения и, при необходимости, восстанавливается крепление.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6.5.3 Технологическая схема по устройству барьерного ограждения приведена в Приложении А.</w:t>
      </w:r>
    </w:p>
    <w:p w:rsidR="00F334D0" w:rsidRPr="00F334D0" w:rsidRDefault="00F334D0" w:rsidP="00F334D0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F334D0">
        <w:rPr>
          <w:rFonts w:ascii="Times New Roman" w:hAnsi="Times New Roman"/>
          <w:b/>
          <w:sz w:val="28"/>
          <w:szCs w:val="28"/>
        </w:rPr>
        <w:t>7 Операционный контроль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7.1 Контроль и оценку качества работ по установке ограждающих и направляющих устройств следует выполнять в соответствии с требованиями следующих нормативных документов: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СНиП 3.01.01-85*. Организация строительного производства </w:t>
      </w:r>
      <w:r w:rsidRPr="009215CE">
        <w:rPr>
          <w:rFonts w:ascii="Times New Roman" w:hAnsi="Times New Roman"/>
          <w:sz w:val="28"/>
          <w:szCs w:val="28"/>
        </w:rPr>
        <w:t xml:space="preserve">[ </w:t>
      </w:r>
      <w:r>
        <w:rPr>
          <w:rFonts w:ascii="Times New Roman" w:hAnsi="Times New Roman"/>
          <w:sz w:val="28"/>
          <w:szCs w:val="28"/>
        </w:rPr>
        <w:t>6</w:t>
      </w:r>
      <w:r w:rsidRPr="009215CE">
        <w:rPr>
          <w:rFonts w:ascii="Times New Roman" w:hAnsi="Times New Roman"/>
          <w:sz w:val="28"/>
          <w:szCs w:val="28"/>
        </w:rPr>
        <w:t xml:space="preserve"> ]</w:t>
      </w:r>
      <w:r>
        <w:rPr>
          <w:rFonts w:ascii="Times New Roman" w:hAnsi="Times New Roman"/>
          <w:sz w:val="28"/>
          <w:szCs w:val="28"/>
        </w:rPr>
        <w:t>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СНиП 3.06.03-85. Автомобильные дороги. Правила приемки и производство работ </w:t>
      </w:r>
      <w:r w:rsidRPr="009215CE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 xml:space="preserve"> 7 </w:t>
      </w:r>
      <w:r w:rsidRPr="009215CE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7.2 С целью обеспечения необходимого качества выполняемые работы должны подвергаться контролю на всех стадиях их выполнения. Производственный контроль подразделяется на входной, операционный (технологический), инспекционный и приемочный. Контроль качества выполняемых работ должен осуществляться специалистами или специальными службами, оснащенными техническими средствами, обеспечивающими необходимую достоверность и полноту контроля и возлагается на руководителя производственного подразделения (прораба, мастера), выполняющего строительные работы.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7.3 Поступившие на объект конструктивные элементы должны иметь сопроводительный документ (паспорт), в котором указываются наименование материала, номер партии и количество материала, дата изготовления. Паспорт является документом подтверждающим соответствие материалов рабочим чертежам и действующим ГОСТам.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7.4 До начала проведения работ, поступившие на объект материалы и конструктивные элементы должны быть подвергнуты входному контролю. </w:t>
      </w:r>
      <w:r>
        <w:rPr>
          <w:rFonts w:ascii="Times New Roman" w:hAnsi="Times New Roman"/>
          <w:sz w:val="28"/>
          <w:szCs w:val="28"/>
        </w:rPr>
        <w:lastRenderedPageBreak/>
        <w:t>Входной контроль проводится с целью выявления отклонений от этих требований.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7.5 Комплект ограждения (участка), полученный от изготовителя должен содержать: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чертежи участков ограждения с указанием основных размеров;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схема сборки рабочего участка;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ведомость комплектности (спецификация), составленная на основании заявки потребителя в соответствии с таблицами комплектности;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элементы ограждения и крепежные элементы, указанные в ведомости комплектности;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паспорт на комплект поставки;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инструкцию по монтажу ограждения;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сертификат соответствия системы сертификации ГОСТ Р.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7.6 Элементы ограждений должны приниматься отделом технического контроля предприятия-потребителя партиями. Партией следует считать элементы ограждений одной марки, изготовленной по одной технологии.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7.7 Для контроля размеров элементов ограждений из каждой партии отбирают 2 процента элементов каждого вида, но не менее 5 элементов.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7.8 При получении неудовлетворительных результатов контроля хотя бы по одному из показателей, установленных настоящим СТО, по этому показателю проводят повторный контроль на удвоенном числе элементов, отобранных из той же партии.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7.9 Если при повторной проверке окажется хотя бы один элемент неудовлетворяющий требованиям настоящего СТО, то всю партию подвергают поштучной приемке.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7.10 Контроль качества сварных соединений следует проводить в соответствии с требованиями ГОСТ 23118 и СП 53-101.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7.11 Количество элементов ограждений, отбираемых для контроля защитного покрытия, нанесенного методом горячего цинкования, устанавливают по ГОСТ 9.307.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7.12 Элементы ограждений, не соответствующие требованиям СТО, подлежат выбраковке.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7.13 Правильность и полнота состава комплекта ограждения (участка), а также его упаковка и маркировка должны проверяться отделом технического контроля предприятия-потребителя.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7.14 Качество стали и сварочных материалов должно быть удостоверено сертификатами предприятия-изготовителя и данными входного контроля предприятия-изготовителя ограждений с требованиями ГОСТ 24297 и СП 53-101.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7.15 Линейные размеры элементов ограждений следует контролировать рулеткой по ГОСТ 7502, металлической линейкой по ГОСТ 427, штангенциркулем по ГОСТ 166 и специальными проверенными шаблонами.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7.16 Соответствие формы и размеров профиля поперечного сечения балки следует проверять специальным поверенным шаблоном.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7.17 Отклонение секции балки от прямолинейности следует проверять измерением металлической линейкой по ГОСТ 427 зазора между поверхностью контролируемой балки и струной, закрепленной на ее концах.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7.18  Общие допуски неуказанных предельных отклонений размеров деталей ограждения следует принимать по ГОСТ 30893.1 –</w:t>
      </w:r>
      <w:r w:rsidRPr="00BD4FB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m</w:t>
      </w:r>
      <w:r>
        <w:rPr>
          <w:rFonts w:ascii="Times New Roman" w:hAnsi="Times New Roman"/>
          <w:sz w:val="28"/>
          <w:szCs w:val="28"/>
        </w:rPr>
        <w:t>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7.19 Отклонения секций балок от прямолинейности не должно превышать 3мм на длине 1000мм.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7.20 Скручивание профилей секций балок вокруг продольной оси – не более 1 град. на 1 метр длины.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7.21 Контроль качества сварных швов и их размеров следует проводить в соответствии с ГОСТ 14771, ГОСТ 23118 и СП 53-101.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7.22 Качество защитных покрытий от коррозии следует контролировать по ГОСТ 9.307.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7.23 Отдел технического контроля предприятия-потребителя ограждений должен проверить, правильно ли выполнена упаковка элементов ограждений изготовителем, имеется ли на изделиях соответствующая маркировка и соблюдались ли требования к транспортировке и хранению ограждений.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7.24 Элементы ограждения: стойки дорожные, стойки мостовые, секции балок волнистого и неволнистого профиля, связи диагональные, крепление прогонов должны поставлять потребителю в пакетах, обвязанных узкой стальной лентой как минимум в двух местах. На каждый пакет должно быть навешено не менее двух ярлыков (металлических бирок) с маркировкой.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7.25 Элементы ограждения консоли-амортизаторы, консоли распорки, стабилизаторы, скобы, пластины, шайбы потребитель должен получать на поддонах или в ящиках, обвязанных узкой стальной лентой.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7.26 Упаковка, маркировка, транспортировка и хранение крепежных изделий должна быть выполнена по ГОСТ 18160.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7.27 Световозвращатели дорожные типа КД4-1 поставщики должны упаковывать в ящики.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7.28 Сопроводительные документы, входящие в комплект поставки, должны быть упакованы во влагонепроницаемый пакет и находиться в упаковочно-отправочном месте №1. Допускается отправлять сопроводительную документацию почтой или экспедитором без упаковки во влагонепроницаемый пакет.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7.29 Маркировка, наносимая на металлический ярлык (бирку), прикрепляемую к пакету, должна содержать: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наименование и товарный знак предприятия-изготовителя;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марку элемента ограждения;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количество элементов в пачке;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массу пачки;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номер пачки;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клеймо (штамп) Отдела технического контроля предприятия-изготовителя;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дату изготовления;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Маркировка должна быть выполнена несмываемой краской или оттиском.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7.30 Транспортная маркировка должна соответствовать требованиям ГОСТ 14192.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7.31 Транспортирование элементов ограждений, крепежных деталей может осуществляться любыми видами транспорта, в соответствии с действующими нормами и правилами на эти виды транспорта.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7.32 Условия транспортирования ограждений при воздействии климатических факторов – 7 (Ж-1) следует принимать по ГОСТ 15150.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7.33 При транспортировании пачек(стойки дорожные, стойки мостовые, секции балок волнистого и неволнистого  профиля, гурты, связи диагональные, крепление прогонов) должна быть обеспечена их укладка с опиранием на деревянные прокладки и подкладки.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7.34  Стойки дорожные, стойки мостовые, секции балок волнистого и неволнистого профиля, гурты, связи диагональные, крепление прогонов должны храниться по маркам в пачках, уложенных в штабели с опиранием на деревянные прокладки и подкладки.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7.35 Подкладки под нижними пачками должны иметь толщину не менее 50 мм, ширину не менее 200 мм и быть уложены по ровному основанию на расстоянии не более 1,0 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7.36 Прокладки между пачками должны быть толщиной не менее 40 мм и шириной не менее 200 мм.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7.37 Условия хранения ограждения при воздействии климатических факторов следует принимать 4(Ж2) по ГОСТ 15150.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7.38 В процессе работ по установке ограждений необходимо проводить операционный контроль качества работ. Это позволит своевременно выявить дефекты и принять меры по их устранению и предупреждению. Контроль проводится под руководством мастера (прораба), в соответствии со Схемой операционного контроля качества.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7.39 При операционном (технологическом) контроле надлежит проверять соответствие выполнения основных производственных операций при строительстве требованиям, установленным строительными нормами и правилами, рабочим проектом и нормативными документами.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7.40 Инструментальный контроль по установке ограждений устройств должен осуществляться систематически от начала до полного её завершения.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7.41 В процессе работ по установке ограждений необходимо контролировать: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качество применяемых конструктивных элементов;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соответствие геометрических параметров установки ограждений проектным значениям;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правильность установки и степень затяжки крепёжных элементов.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7.42 Результаты операционного контроля должны быть зарегистрированы в Общем журнале работ.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 инспекционном контроле надлежит проверять качество работ выборочно по усмотрению Заказчика или Генерального подрядчика с целью проверки эффективности проведенного производственного контроля. Этот вид контроля может быть проведен на любой стадии строительных работ.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7.43 Результаты контроля качества, осуществляемого Техническим надзором заказчика, Авторским надзором, Инспекционным контролем и замечания лиц, контролирующих производство и качество работ, должны быть занесены в Общий журнал работ.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7.44 Контроль качества работ ведут с момента поступления материалов на строительную площадку и заканчивают при сдаче объекта к эксплуатацию.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7.45 Рекомендуемая схема операционного контроля качества работ приведены в Таблице 1.</w:t>
      </w:r>
    </w:p>
    <w:p w:rsidR="00852ED4" w:rsidRDefault="00F334D0" w:rsidP="00852ED4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 – Схема операционного контроля качества работ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76"/>
        <w:gridCol w:w="1785"/>
        <w:gridCol w:w="3825"/>
      </w:tblGrid>
      <w:tr w:rsidR="00F334D0" w:rsidRPr="00E243B7" w:rsidTr="00794B69">
        <w:tc>
          <w:tcPr>
            <w:tcW w:w="3794" w:type="dxa"/>
          </w:tcPr>
          <w:p w:rsidR="00F334D0" w:rsidRPr="00E243B7" w:rsidRDefault="00F334D0" w:rsidP="00794B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Контролируемый параметр</w:t>
            </w:r>
          </w:p>
        </w:tc>
        <w:tc>
          <w:tcPr>
            <w:tcW w:w="1843" w:type="dxa"/>
          </w:tcPr>
          <w:p w:rsidR="00F334D0" w:rsidRPr="00E243B7" w:rsidRDefault="00F334D0" w:rsidP="00794B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Допуск</w:t>
            </w:r>
          </w:p>
        </w:tc>
        <w:tc>
          <w:tcPr>
            <w:tcW w:w="3934" w:type="dxa"/>
          </w:tcPr>
          <w:p w:rsidR="00F334D0" w:rsidRPr="00E243B7" w:rsidRDefault="00F334D0" w:rsidP="00794B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Инструмент для контроля</w:t>
            </w:r>
          </w:p>
        </w:tc>
      </w:tr>
      <w:tr w:rsidR="00F334D0" w:rsidRPr="00E243B7" w:rsidTr="00794B69">
        <w:trPr>
          <w:trHeight w:val="379"/>
        </w:trPr>
        <w:tc>
          <w:tcPr>
            <w:tcW w:w="3794" w:type="dxa"/>
          </w:tcPr>
          <w:p w:rsidR="00F334D0" w:rsidRPr="00E243B7" w:rsidRDefault="00F334D0" w:rsidP="00794B6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Pr="00E243B7">
              <w:rPr>
                <w:rFonts w:ascii="Times New Roman" w:hAnsi="Times New Roman"/>
                <w:sz w:val="24"/>
                <w:szCs w:val="24"/>
              </w:rPr>
              <w:t>Шаг стоек</w:t>
            </w:r>
          </w:p>
        </w:tc>
        <w:tc>
          <w:tcPr>
            <w:tcW w:w="1843" w:type="dxa"/>
          </w:tcPr>
          <w:p w:rsidR="00F334D0" w:rsidRPr="00E243B7" w:rsidRDefault="00F334D0" w:rsidP="00794B69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20 мм</w:t>
            </w:r>
          </w:p>
        </w:tc>
        <w:tc>
          <w:tcPr>
            <w:tcW w:w="3934" w:type="dxa"/>
          </w:tcPr>
          <w:p w:rsidR="00F334D0" w:rsidRPr="00E243B7" w:rsidRDefault="00F334D0" w:rsidP="00794B69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Рулетка 310ЗК ГОСТ 7502-98</w:t>
            </w:r>
          </w:p>
        </w:tc>
      </w:tr>
      <w:tr w:rsidR="00F334D0" w:rsidRPr="00E243B7" w:rsidTr="00794B69">
        <w:trPr>
          <w:trHeight w:val="758"/>
        </w:trPr>
        <w:tc>
          <w:tcPr>
            <w:tcW w:w="3794" w:type="dxa"/>
          </w:tcPr>
          <w:p w:rsidR="00F334D0" w:rsidRPr="00E243B7" w:rsidRDefault="00F334D0" w:rsidP="00794B6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 w:rsidRPr="00E243B7">
              <w:rPr>
                <w:rFonts w:ascii="Times New Roman" w:hAnsi="Times New Roman"/>
                <w:sz w:val="24"/>
                <w:szCs w:val="24"/>
              </w:rPr>
              <w:t>Высота стоек относительно дорожного покрытия</w:t>
            </w:r>
          </w:p>
        </w:tc>
        <w:tc>
          <w:tcPr>
            <w:tcW w:w="1843" w:type="dxa"/>
          </w:tcPr>
          <w:p w:rsidR="00F334D0" w:rsidRPr="00E243B7" w:rsidRDefault="00F334D0" w:rsidP="00794B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10 мм</w:t>
            </w:r>
          </w:p>
        </w:tc>
        <w:tc>
          <w:tcPr>
            <w:tcW w:w="3934" w:type="dxa"/>
          </w:tcPr>
          <w:p w:rsidR="00F334D0" w:rsidRPr="00E243B7" w:rsidRDefault="00F334D0" w:rsidP="00794B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Линейка 1-50 ГОСТ 427-75, шнур строительный</w:t>
            </w:r>
          </w:p>
        </w:tc>
      </w:tr>
      <w:tr w:rsidR="00F334D0" w:rsidRPr="00E243B7" w:rsidTr="00794B69">
        <w:tc>
          <w:tcPr>
            <w:tcW w:w="3794" w:type="dxa"/>
          </w:tcPr>
          <w:p w:rsidR="00F334D0" w:rsidRPr="00E243B7" w:rsidRDefault="00F334D0" w:rsidP="00794B6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 </w:t>
            </w:r>
            <w:r w:rsidRPr="00E243B7">
              <w:rPr>
                <w:rFonts w:ascii="Times New Roman" w:hAnsi="Times New Roman"/>
                <w:sz w:val="24"/>
                <w:szCs w:val="24"/>
              </w:rPr>
              <w:t>Отклонения стоек относительно продольной оси ограждения</w:t>
            </w:r>
          </w:p>
        </w:tc>
        <w:tc>
          <w:tcPr>
            <w:tcW w:w="1843" w:type="dxa"/>
          </w:tcPr>
          <w:p w:rsidR="00F334D0" w:rsidRPr="00E243B7" w:rsidRDefault="00F334D0" w:rsidP="00794B69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10 мм</w:t>
            </w:r>
          </w:p>
        </w:tc>
        <w:tc>
          <w:tcPr>
            <w:tcW w:w="3934" w:type="dxa"/>
          </w:tcPr>
          <w:p w:rsidR="00F334D0" w:rsidRPr="00E243B7" w:rsidRDefault="00F334D0" w:rsidP="00794B69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Линейка 1-50 ГОСТ 427-75, шнур строительный, отвес строительный ГОСТ 7948-80</w:t>
            </w:r>
          </w:p>
        </w:tc>
      </w:tr>
      <w:tr w:rsidR="00F334D0" w:rsidRPr="00E243B7" w:rsidTr="00794B69">
        <w:tc>
          <w:tcPr>
            <w:tcW w:w="3794" w:type="dxa"/>
          </w:tcPr>
          <w:p w:rsidR="00F334D0" w:rsidRPr="00E243B7" w:rsidRDefault="00F334D0" w:rsidP="00794B69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4 </w:t>
            </w:r>
            <w:r w:rsidRPr="00E243B7">
              <w:rPr>
                <w:rFonts w:ascii="Times New Roman" w:hAnsi="Times New Roman"/>
                <w:sz w:val="24"/>
                <w:szCs w:val="24"/>
              </w:rPr>
              <w:t>Высотное отклонение секций балок от верха дорожного покрытия на длине 6000 мм</w:t>
            </w:r>
          </w:p>
        </w:tc>
        <w:tc>
          <w:tcPr>
            <w:tcW w:w="1843" w:type="dxa"/>
          </w:tcPr>
          <w:p w:rsidR="00F334D0" w:rsidRPr="00E243B7" w:rsidRDefault="00F334D0" w:rsidP="00794B69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15 мм</w:t>
            </w:r>
          </w:p>
        </w:tc>
        <w:tc>
          <w:tcPr>
            <w:tcW w:w="3934" w:type="dxa"/>
          </w:tcPr>
          <w:p w:rsidR="00F334D0" w:rsidRPr="00E243B7" w:rsidRDefault="00F334D0" w:rsidP="00794B69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Линейка 1-50 ГОСТ 427-75, шнур строительный</w:t>
            </w:r>
          </w:p>
        </w:tc>
      </w:tr>
      <w:tr w:rsidR="00F334D0" w:rsidRPr="00E243B7" w:rsidTr="00794B69">
        <w:tc>
          <w:tcPr>
            <w:tcW w:w="3794" w:type="dxa"/>
          </w:tcPr>
          <w:p w:rsidR="00F334D0" w:rsidRPr="00E243B7" w:rsidRDefault="00F334D0" w:rsidP="00794B69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5 </w:t>
            </w:r>
            <w:r w:rsidRPr="00E243B7">
              <w:rPr>
                <w:rFonts w:ascii="Times New Roman" w:hAnsi="Times New Roman"/>
                <w:sz w:val="24"/>
                <w:szCs w:val="24"/>
              </w:rPr>
              <w:t>Волнистость линии ограждения в плане на длине 10000 мм</w:t>
            </w:r>
          </w:p>
        </w:tc>
        <w:tc>
          <w:tcPr>
            <w:tcW w:w="1843" w:type="dxa"/>
          </w:tcPr>
          <w:p w:rsidR="00F334D0" w:rsidRPr="00E243B7" w:rsidRDefault="00F334D0" w:rsidP="00794B69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30 мм</w:t>
            </w:r>
          </w:p>
        </w:tc>
        <w:tc>
          <w:tcPr>
            <w:tcW w:w="3934" w:type="dxa"/>
          </w:tcPr>
          <w:p w:rsidR="00F334D0" w:rsidRPr="00E243B7" w:rsidRDefault="00F334D0" w:rsidP="00794B69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Линейка 1-50 ГОСТ 427-75, шнур строительный</w:t>
            </w:r>
          </w:p>
        </w:tc>
      </w:tr>
      <w:tr w:rsidR="00F334D0" w:rsidRPr="00E243B7" w:rsidTr="00794B69">
        <w:tc>
          <w:tcPr>
            <w:tcW w:w="3794" w:type="dxa"/>
          </w:tcPr>
          <w:p w:rsidR="00F334D0" w:rsidRPr="00E243B7" w:rsidRDefault="00F334D0" w:rsidP="00794B69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6 </w:t>
            </w:r>
            <w:r w:rsidRPr="00E243B7">
              <w:rPr>
                <w:rFonts w:ascii="Times New Roman" w:hAnsi="Times New Roman"/>
                <w:sz w:val="24"/>
                <w:szCs w:val="24"/>
              </w:rPr>
              <w:t>Отклонение величины момента затяжки болтовых соединений</w:t>
            </w:r>
          </w:p>
        </w:tc>
        <w:tc>
          <w:tcPr>
            <w:tcW w:w="1843" w:type="dxa"/>
          </w:tcPr>
          <w:p w:rsidR="00F334D0" w:rsidRPr="00E243B7" w:rsidRDefault="00F334D0" w:rsidP="00794B69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10 Нм</w:t>
            </w:r>
          </w:p>
        </w:tc>
        <w:tc>
          <w:tcPr>
            <w:tcW w:w="3934" w:type="dxa"/>
          </w:tcPr>
          <w:p w:rsidR="00F334D0" w:rsidRPr="00E243B7" w:rsidRDefault="00F334D0" w:rsidP="00794B69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Ключ динамометрический</w:t>
            </w:r>
          </w:p>
        </w:tc>
      </w:tr>
    </w:tbl>
    <w:p w:rsidR="00AD03F3" w:rsidRDefault="00AD03F3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7.46  По окончанию работ по установке ограждений выполненные работы должны быть приняты по акту, к которому прилагают: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общий журнал работ;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исполнительную схему с нанесением на ней отклонений от проекта, допущенных в процессе строительства;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паспорта на используемые конструктивные элементы технических средств организации дорожного движения.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объекте строительства должен вестись Общий журнал работ, Журнал авторского надзора проектной организации и Оперативный журнал геодезических работ.</w:t>
      </w:r>
    </w:p>
    <w:p w:rsidR="00F334D0" w:rsidRDefault="00F334D0" w:rsidP="00852ED4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435966">
        <w:rPr>
          <w:rFonts w:ascii="Times New Roman" w:hAnsi="Times New Roman"/>
          <w:b/>
          <w:sz w:val="28"/>
          <w:szCs w:val="28"/>
        </w:rPr>
        <w:t>8 Безопасность работ при монтаже ограждения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8.1 При производстве работ следует руководствоваться действую</w:t>
      </w:r>
      <w:r w:rsidR="00852ED4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щими нормативными документами: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СНиП 12-03-2001. Безопасность труда в строительстве. Часть 1. Общие требования </w:t>
      </w:r>
      <w:r w:rsidRPr="00435966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8</w:t>
      </w:r>
      <w:r w:rsidRPr="00435966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СНиП 12-04-2002. Безопасность труда в строительстве. Часть 2. Строительное производство </w:t>
      </w:r>
      <w:r w:rsidRPr="00435966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9</w:t>
      </w:r>
      <w:r w:rsidRPr="00435966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Правила охраны при строительстве, ремонте и содержании автомобильных дорог </w:t>
      </w:r>
      <w:r w:rsidRPr="00435966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10</w:t>
      </w:r>
      <w:r w:rsidRPr="00435966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8.2 К работе по установке технических средств организации дорож</w:t>
      </w:r>
      <w:r w:rsidR="00852ED4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ного движения допускаются лица, прошедшие специальный инструктаж с регистрацией в журнале по технике безопасности.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8.3 Лица, находящиеся на проезжей части, обязаны пользоваться сигнальными жилетами со световозвращающими элементами. 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8.4 При разбивочных работах и работах по монтажу и установк</w:t>
      </w:r>
      <w:r w:rsidR="002B1E38">
        <w:rPr>
          <w:rFonts w:ascii="Times New Roman" w:hAnsi="Times New Roman"/>
          <w:sz w:val="28"/>
          <w:szCs w:val="28"/>
        </w:rPr>
        <w:t>е ограждений</w:t>
      </w:r>
      <w:r>
        <w:rPr>
          <w:rFonts w:ascii="Times New Roman" w:hAnsi="Times New Roman"/>
          <w:sz w:val="28"/>
          <w:szCs w:val="28"/>
        </w:rPr>
        <w:t>, в случае выхода дорожных рабочих для проведения работ на встречную полосу, необходимо из числа рабочих заблаговременно выставлять двух регулировщиков с красными нарукавными повязками и жезлами, которые закрывают движение транспорта на время работ.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8.5 Участок </w:t>
      </w:r>
      <w:r w:rsidR="002B1E3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дороги, на котором производится установка технических средств организации дорожного движения, должен быть огражден в соответствии с требованиями ВСН 37-84.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8.6 При невозможности запрета движения автомобильного транспорта на дорогах и улицах с интенсивным движением, работы по установке технических средств организации дорожного движения следует производить, как правило, с участием сотрудников ГИБДД, которые, при необходимости, оказывают помощь в организации движения в зоне проведения работ.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8.7 Дорожные машины, участвующие в проведении работ, должны быть оборудованы проблесковыми маячками желтого цвета.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8.8 Схемы организации движения и ограждения работ независимо от того, являются они типовыми или индивидуальными, а также сроки проведения работ утверждаются руководителем дорожной организации и согласовываются с органами Государственной Инспекции безопасности дорожного движения.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8.9 Ответственность за выполнение мероприятий по технике безопасности, охране труда, промышленной санитарии, пожарной и экологической безопасности возлагается на руководителя работ, назначенного приказом.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Ответственное лицо осуществляет организационное руководство работами непосредственно или через бригадира. Распоряжения и указания ответственного лица являются обязательными для всех работающих на объекте.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8.10 Охрана труда рабочих должна обеспечиваться выдачей администрацией необходимых средств индивидуальной защиты (специальной одежды, обуви и др.) выполнением мероприятий по коллективной защите рабочих, санитарно-бытовыми помещениями и </w:t>
      </w:r>
      <w:r>
        <w:rPr>
          <w:rFonts w:ascii="Times New Roman" w:hAnsi="Times New Roman"/>
          <w:sz w:val="28"/>
          <w:szCs w:val="28"/>
        </w:rPr>
        <w:lastRenderedPageBreak/>
        <w:t>устройствами в соответствии с действующими нормами и характером выполняемых работ. Рабочим должны быть созданы необходимые условия труда, питания и отдыха. Работы выполняются в спецобуви и спецодежде.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8.11 Санитарно-бытовые помещения должны размещаться вне опасных зон. В вагончике для отдыха рабочих должны находиться и постоянно пополняться аптечка с медикаментами, носилки, фиксирующие шины и другие средства для оказания первой медицинской помощи. Все работающие на строительной площадке должны быть обеспечены питьевой водой.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8.12 Размещение строительных машин должно быть определено таким образом, чтобы обеспечивалось пространство, достаточное для образа рабочей зоны и маневрирования при условии соблюдения расстояния безопасности.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8.13 Техническое состояние машин необходимо проверять перед началом каждой смены.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Каждая машина должна быть оборудована звуковой сигнализацией, перед пуском ее в действие необходимо подавать звуковой сигнал.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Перед пуском машины необходимо убедиться в их исправности, наличии на них защитных приспособлений, отсутствии посторонних лиц на рабочем участке.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8.14 Машинистам запрещается: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работать на неисправных механизмах;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 ходу, во время работы устранять неисправности;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оставлять механизмы с работающим двигателем;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допускать посторонних лиц в кабину механизма;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стоять перед диском с запорным кольцом при накачивании шин;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производить работы зонах ЛЭП любого напряжения.</w:t>
      </w:r>
    </w:p>
    <w:p w:rsidR="00852ED4" w:rsidRDefault="00852ED4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F334D0" w:rsidRDefault="00F334D0" w:rsidP="00F334D0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292180">
        <w:rPr>
          <w:rFonts w:ascii="Times New Roman" w:hAnsi="Times New Roman"/>
          <w:b/>
          <w:sz w:val="28"/>
          <w:szCs w:val="28"/>
        </w:rPr>
        <w:lastRenderedPageBreak/>
        <w:t>Библиография</w:t>
      </w:r>
    </w:p>
    <w:p w:rsidR="00852ED4" w:rsidRDefault="00852ED4" w:rsidP="00F334D0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F334D0" w:rsidRPr="00292180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 xml:space="preserve">[1] </w:t>
      </w:r>
      <w:r>
        <w:rPr>
          <w:rFonts w:ascii="Times New Roman" w:hAnsi="Times New Roman"/>
          <w:sz w:val="28"/>
          <w:szCs w:val="28"/>
        </w:rPr>
        <w:t xml:space="preserve"> СП53-101-2004 Общие правила проектирования стальных конструкций</w:t>
      </w:r>
    </w:p>
    <w:p w:rsidR="00F334D0" w:rsidRPr="00EB10EE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>[2]</w:t>
      </w:r>
      <w:r>
        <w:rPr>
          <w:rFonts w:ascii="Times New Roman" w:hAnsi="Times New Roman"/>
          <w:sz w:val="28"/>
          <w:szCs w:val="28"/>
        </w:rPr>
        <w:t xml:space="preserve">  СНиП 2.03.11-85 Защита строительных конструкций от коррозии</w:t>
      </w:r>
    </w:p>
    <w:p w:rsidR="00F334D0" w:rsidRPr="00EB10EE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>[3]</w:t>
      </w:r>
      <w:r>
        <w:rPr>
          <w:rFonts w:ascii="Times New Roman" w:hAnsi="Times New Roman"/>
          <w:sz w:val="28"/>
          <w:szCs w:val="28"/>
        </w:rPr>
        <w:t xml:space="preserve">  СНиП 2.05.02-85 Автомобильные дороги</w:t>
      </w:r>
    </w:p>
    <w:p w:rsidR="00F334D0" w:rsidRPr="00EB10EE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>[4]</w:t>
      </w:r>
      <w:r>
        <w:rPr>
          <w:rFonts w:ascii="Times New Roman" w:hAnsi="Times New Roman"/>
          <w:sz w:val="28"/>
          <w:szCs w:val="28"/>
        </w:rPr>
        <w:t xml:space="preserve">  СНиП 2.05.03-84 Мосты и трубы</w:t>
      </w:r>
    </w:p>
    <w:p w:rsidR="00F334D0" w:rsidRPr="00EB10EE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>[5]</w:t>
      </w:r>
      <w:r>
        <w:rPr>
          <w:rFonts w:ascii="Times New Roman" w:hAnsi="Times New Roman"/>
          <w:sz w:val="28"/>
          <w:szCs w:val="28"/>
        </w:rPr>
        <w:t xml:space="preserve">  СНиП 3.01.03-84. Геодезические работы в строительстве</w:t>
      </w:r>
    </w:p>
    <w:p w:rsidR="00F334D0" w:rsidRPr="00EB10EE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>[6]</w:t>
      </w:r>
      <w:r>
        <w:rPr>
          <w:rFonts w:ascii="Times New Roman" w:hAnsi="Times New Roman"/>
          <w:sz w:val="28"/>
          <w:szCs w:val="28"/>
        </w:rPr>
        <w:t xml:space="preserve">  СНиП 3.01.01-85*. Организация строительного производства</w:t>
      </w:r>
    </w:p>
    <w:p w:rsidR="00F334D0" w:rsidRPr="00EB10EE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>[7]</w:t>
      </w:r>
      <w:r>
        <w:rPr>
          <w:rFonts w:ascii="Times New Roman" w:hAnsi="Times New Roman"/>
          <w:sz w:val="28"/>
          <w:szCs w:val="28"/>
        </w:rPr>
        <w:t xml:space="preserve">  СНиП 3.06.03-85. Автомобильные дороги. Правила производства и приёмки работ</w:t>
      </w:r>
    </w:p>
    <w:p w:rsidR="00F334D0" w:rsidRPr="00EB10EE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>[8]</w:t>
      </w:r>
      <w:r>
        <w:rPr>
          <w:rFonts w:ascii="Times New Roman" w:hAnsi="Times New Roman"/>
          <w:sz w:val="28"/>
          <w:szCs w:val="28"/>
        </w:rPr>
        <w:t xml:space="preserve">  СНиП 12-03-2001. Безопасность труда в строительстве. Ч. 1. Общие требования</w:t>
      </w:r>
    </w:p>
    <w:p w:rsidR="00F334D0" w:rsidRPr="00EB10EE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>[9]</w:t>
      </w:r>
      <w:r>
        <w:rPr>
          <w:rFonts w:ascii="Times New Roman" w:hAnsi="Times New Roman"/>
          <w:sz w:val="28"/>
          <w:szCs w:val="28"/>
        </w:rPr>
        <w:t xml:space="preserve">  СНиП 12-04-2002. Безопасность труда в строительстве. Ч. 2. Строительное производство</w:t>
      </w:r>
    </w:p>
    <w:p w:rsidR="00F334D0" w:rsidRPr="00EB10EE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>[10]</w:t>
      </w:r>
      <w:r>
        <w:rPr>
          <w:rFonts w:ascii="Times New Roman" w:hAnsi="Times New Roman"/>
          <w:sz w:val="28"/>
          <w:szCs w:val="28"/>
        </w:rPr>
        <w:t xml:space="preserve">  Правила охраны труда при строительстве, ремонте и содержании автомобильных дорог</w:t>
      </w:r>
    </w:p>
    <w:p w:rsidR="00F334D0" w:rsidRPr="00EB10EE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>[11]</w:t>
      </w:r>
      <w:r>
        <w:rPr>
          <w:rFonts w:ascii="Times New Roman" w:hAnsi="Times New Roman"/>
          <w:sz w:val="28"/>
          <w:szCs w:val="28"/>
        </w:rPr>
        <w:t xml:space="preserve">  ТУ 14-178-432-2002 Болты специальные с полукруглой головкой и эллиптическим подголовником класса точности С</w:t>
      </w:r>
    </w:p>
    <w:p w:rsidR="00F334D0" w:rsidRPr="00EB10EE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>[12]</w:t>
      </w:r>
      <w:r>
        <w:rPr>
          <w:rFonts w:ascii="Times New Roman" w:hAnsi="Times New Roman"/>
          <w:sz w:val="28"/>
          <w:szCs w:val="28"/>
        </w:rPr>
        <w:t xml:space="preserve">  ВСН 37-84</w:t>
      </w:r>
    </w:p>
    <w:p w:rsidR="00AF4729" w:rsidRPr="00237D2D" w:rsidRDefault="00AF4729" w:rsidP="00852E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52ED4" w:rsidRDefault="00852ED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5117A2" w:rsidRDefault="00AD4A6C" w:rsidP="00AD4A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59495" cy="8477250"/>
            <wp:effectExtent l="19050" t="0" r="0" b="0"/>
            <wp:docPr id="1" name="Рисунок 1" descr="C:\Users\User\Pictures\img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img08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95" cy="847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4A6C" w:rsidRDefault="00AD4A6C" w:rsidP="00AD4A6C">
      <w:pPr>
        <w:pBdr>
          <w:top w:val="single" w:sz="12" w:space="1" w:color="auto"/>
          <w:bottom w:val="single" w:sz="12" w:space="1" w:color="auto"/>
        </w:pBd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УДК 625.745.6: 006.354</w:t>
      </w:r>
    </w:p>
    <w:p w:rsidR="00AD4A6C" w:rsidRDefault="00AD4A6C" w:rsidP="00AD4A6C">
      <w:pPr>
        <w:pBdr>
          <w:top w:val="single" w:sz="12" w:space="1" w:color="auto"/>
          <w:bottom w:val="single" w:sz="12" w:space="1" w:color="auto"/>
        </w:pBd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Ключевые слова: ограждения барьерные </w:t>
      </w:r>
      <w:r w:rsidR="00845A40">
        <w:rPr>
          <w:rFonts w:ascii="Times New Roman" w:hAnsi="Times New Roman" w:cs="Times New Roman"/>
          <w:sz w:val="28"/>
          <w:szCs w:val="28"/>
        </w:rPr>
        <w:t>металлические, стойка, балка, консоль, опора, световозвращатель</w:t>
      </w:r>
    </w:p>
    <w:p w:rsidR="00AD4A6C" w:rsidRPr="001A6D6E" w:rsidRDefault="00AD4A6C" w:rsidP="00AD4A6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AD4A6C" w:rsidRPr="001A6D6E" w:rsidSect="00AD4A6C">
      <w:footerReference w:type="default" r:id="rId11"/>
      <w:pgSz w:w="11906" w:h="16838" w:code="9"/>
      <w:pgMar w:top="1238" w:right="1418" w:bottom="426" w:left="1418" w:header="709" w:footer="1134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12470" w:rsidRDefault="00912470" w:rsidP="00263456">
      <w:pPr>
        <w:spacing w:after="0" w:line="240" w:lineRule="auto"/>
      </w:pPr>
      <w:r>
        <w:separator/>
      </w:r>
    </w:p>
  </w:endnote>
  <w:endnote w:type="continuationSeparator" w:id="0">
    <w:p w:rsidR="00912470" w:rsidRDefault="00912470" w:rsidP="002634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18555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237D2D" w:rsidRPr="005117A2" w:rsidRDefault="008C0702">
        <w:pPr>
          <w:pStyle w:val="a6"/>
          <w:jc w:val="right"/>
          <w:rPr>
            <w:rFonts w:ascii="Times New Roman" w:hAnsi="Times New Roman" w:cs="Times New Roman"/>
            <w:sz w:val="28"/>
            <w:szCs w:val="28"/>
          </w:rPr>
        </w:pPr>
        <w:r w:rsidRPr="005117A2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="00237D2D" w:rsidRPr="005117A2">
          <w:rPr>
            <w:rFonts w:ascii="Times New Roman" w:hAnsi="Times New Roman" w:cs="Times New Roman"/>
            <w:sz w:val="28"/>
            <w:szCs w:val="28"/>
          </w:rPr>
          <w:instrText xml:space="preserve"> PAGE   \* MERGEFORMAT </w:instrText>
        </w:r>
        <w:r w:rsidRPr="005117A2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D972DF">
          <w:rPr>
            <w:rFonts w:ascii="Times New Roman" w:hAnsi="Times New Roman" w:cs="Times New Roman"/>
            <w:noProof/>
            <w:sz w:val="28"/>
            <w:szCs w:val="28"/>
          </w:rPr>
          <w:t>IV</w:t>
        </w:r>
        <w:r w:rsidRPr="005117A2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237D2D" w:rsidRDefault="00237D2D" w:rsidP="005117A2">
    <w:pPr>
      <w:pStyle w:val="a6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7D2D" w:rsidRPr="005117A2" w:rsidRDefault="008C0702">
    <w:pPr>
      <w:pStyle w:val="a6"/>
      <w:jc w:val="right"/>
      <w:rPr>
        <w:rFonts w:ascii="Times New Roman" w:hAnsi="Times New Roman" w:cs="Times New Roman"/>
        <w:sz w:val="28"/>
        <w:szCs w:val="28"/>
      </w:rPr>
    </w:pPr>
    <w:r w:rsidRPr="005117A2">
      <w:rPr>
        <w:rFonts w:ascii="Times New Roman" w:hAnsi="Times New Roman" w:cs="Times New Roman"/>
        <w:sz w:val="28"/>
        <w:szCs w:val="28"/>
      </w:rPr>
      <w:fldChar w:fldCharType="begin"/>
    </w:r>
    <w:r w:rsidR="00237D2D" w:rsidRPr="005117A2">
      <w:rPr>
        <w:rFonts w:ascii="Times New Roman" w:hAnsi="Times New Roman" w:cs="Times New Roman"/>
        <w:sz w:val="28"/>
        <w:szCs w:val="28"/>
      </w:rPr>
      <w:instrText xml:space="preserve"> PAGE   \* MERGEFORMAT </w:instrText>
    </w:r>
    <w:r w:rsidRPr="005117A2">
      <w:rPr>
        <w:rFonts w:ascii="Times New Roman" w:hAnsi="Times New Roman" w:cs="Times New Roman"/>
        <w:sz w:val="28"/>
        <w:szCs w:val="28"/>
      </w:rPr>
      <w:fldChar w:fldCharType="separate"/>
    </w:r>
    <w:r w:rsidR="00D972DF">
      <w:rPr>
        <w:rFonts w:ascii="Times New Roman" w:hAnsi="Times New Roman" w:cs="Times New Roman"/>
        <w:noProof/>
        <w:sz w:val="28"/>
        <w:szCs w:val="28"/>
      </w:rPr>
      <w:t>10</w:t>
    </w:r>
    <w:r w:rsidRPr="005117A2">
      <w:rPr>
        <w:rFonts w:ascii="Times New Roman" w:hAnsi="Times New Roman" w:cs="Times New Roman"/>
        <w:sz w:val="28"/>
        <w:szCs w:val="28"/>
      </w:rPr>
      <w:fldChar w:fldCharType="end"/>
    </w:r>
  </w:p>
  <w:p w:rsidR="00237D2D" w:rsidRDefault="00237D2D" w:rsidP="005117A2">
    <w:pPr>
      <w:pStyle w:val="a6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12470" w:rsidRDefault="00912470" w:rsidP="00263456">
      <w:pPr>
        <w:spacing w:after="0" w:line="240" w:lineRule="auto"/>
      </w:pPr>
      <w:r>
        <w:separator/>
      </w:r>
    </w:p>
  </w:footnote>
  <w:footnote w:type="continuationSeparator" w:id="0">
    <w:p w:rsidR="00912470" w:rsidRDefault="00912470" w:rsidP="002634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7D2D" w:rsidRPr="00263456" w:rsidRDefault="00237D2D" w:rsidP="00263456">
    <w:pPr>
      <w:spacing w:after="0" w:line="360" w:lineRule="auto"/>
      <w:rPr>
        <w:rFonts w:ascii="Times New Roman" w:hAnsi="Times New Roman" w:cs="Times New Roman"/>
      </w:rPr>
    </w:pPr>
    <w:r w:rsidRPr="00263456">
      <w:rPr>
        <w:rFonts w:ascii="Times New Roman" w:hAnsi="Times New Roman" w:cs="Times New Roman"/>
      </w:rPr>
      <w:t>СТО НОС</w:t>
    </w:r>
    <w:r>
      <w:rPr>
        <w:rFonts w:ascii="Times New Roman" w:hAnsi="Times New Roman" w:cs="Times New Roman"/>
      </w:rPr>
      <w:t>ТРОЙ 2.25.20.4 - 2011</w:t>
    </w:r>
  </w:p>
  <w:p w:rsidR="008C0702" w:rsidRDefault="008C0702" w:rsidP="00AD03F3">
    <w:pPr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63456"/>
    <w:rsid w:val="000C2115"/>
    <w:rsid w:val="00100AB0"/>
    <w:rsid w:val="00183EDD"/>
    <w:rsid w:val="001A6D6E"/>
    <w:rsid w:val="00222261"/>
    <w:rsid w:val="00237D2D"/>
    <w:rsid w:val="00263456"/>
    <w:rsid w:val="002B1E38"/>
    <w:rsid w:val="00332263"/>
    <w:rsid w:val="00357692"/>
    <w:rsid w:val="003E58D6"/>
    <w:rsid w:val="004A697C"/>
    <w:rsid w:val="005117A2"/>
    <w:rsid w:val="00533CF6"/>
    <w:rsid w:val="0059291C"/>
    <w:rsid w:val="00654223"/>
    <w:rsid w:val="00687FF5"/>
    <w:rsid w:val="008257B3"/>
    <w:rsid w:val="00845A40"/>
    <w:rsid w:val="00852ED4"/>
    <w:rsid w:val="00863C1C"/>
    <w:rsid w:val="008B1877"/>
    <w:rsid w:val="008B46E9"/>
    <w:rsid w:val="008B685C"/>
    <w:rsid w:val="008C0702"/>
    <w:rsid w:val="00900993"/>
    <w:rsid w:val="00912470"/>
    <w:rsid w:val="00950F2B"/>
    <w:rsid w:val="00982493"/>
    <w:rsid w:val="009D08A8"/>
    <w:rsid w:val="009E215E"/>
    <w:rsid w:val="00A47294"/>
    <w:rsid w:val="00AD03F3"/>
    <w:rsid w:val="00AD4A6C"/>
    <w:rsid w:val="00AF4729"/>
    <w:rsid w:val="00B14DC2"/>
    <w:rsid w:val="00B30B87"/>
    <w:rsid w:val="00B4029C"/>
    <w:rsid w:val="00B92F51"/>
    <w:rsid w:val="00BA2DAD"/>
    <w:rsid w:val="00BA560F"/>
    <w:rsid w:val="00BB573D"/>
    <w:rsid w:val="00BC4DA9"/>
    <w:rsid w:val="00BD4CCC"/>
    <w:rsid w:val="00C52F31"/>
    <w:rsid w:val="00CC4563"/>
    <w:rsid w:val="00CF74B5"/>
    <w:rsid w:val="00D1541B"/>
    <w:rsid w:val="00D5635A"/>
    <w:rsid w:val="00D972DF"/>
    <w:rsid w:val="00DC1D27"/>
    <w:rsid w:val="00DE75EC"/>
    <w:rsid w:val="00EB3CAD"/>
    <w:rsid w:val="00EC2E5D"/>
    <w:rsid w:val="00ED6E21"/>
    <w:rsid w:val="00EE522C"/>
    <w:rsid w:val="00F32745"/>
    <w:rsid w:val="00F334D0"/>
    <w:rsid w:val="00F52C53"/>
    <w:rsid w:val="00F92748"/>
    <w:rsid w:val="00FE29AB"/>
    <w:rsid w:val="00FF07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3456"/>
  </w:style>
  <w:style w:type="paragraph" w:styleId="1">
    <w:name w:val="heading 1"/>
    <w:basedOn w:val="a"/>
    <w:next w:val="a"/>
    <w:link w:val="10"/>
    <w:qFormat/>
    <w:rsid w:val="00D972DF"/>
    <w:pPr>
      <w:keepNext/>
      <w:spacing w:after="0" w:line="240" w:lineRule="auto"/>
      <w:jc w:val="both"/>
      <w:outlineLvl w:val="0"/>
    </w:pPr>
    <w:rPr>
      <w:rFonts w:ascii="Times New Roman" w:eastAsia="Times New Roman" w:hAnsi="Times New Roman" w:cs="Times New Roman"/>
      <w:sz w:val="28"/>
      <w:szCs w:val="20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6345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2634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63456"/>
  </w:style>
  <w:style w:type="paragraph" w:styleId="a6">
    <w:name w:val="footer"/>
    <w:basedOn w:val="a"/>
    <w:link w:val="a7"/>
    <w:uiPriority w:val="99"/>
    <w:unhideWhenUsed/>
    <w:rsid w:val="002634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63456"/>
  </w:style>
  <w:style w:type="paragraph" w:styleId="a8">
    <w:name w:val="Balloon Text"/>
    <w:basedOn w:val="a"/>
    <w:link w:val="a9"/>
    <w:uiPriority w:val="99"/>
    <w:semiHidden/>
    <w:unhideWhenUsed/>
    <w:rsid w:val="00AD4A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D4A6C"/>
    <w:rPr>
      <w:rFonts w:ascii="Tahoma" w:hAnsi="Tahoma" w:cs="Tahoma"/>
      <w:sz w:val="16"/>
      <w:szCs w:val="16"/>
    </w:rPr>
  </w:style>
  <w:style w:type="character" w:customStyle="1" w:styleId="NoSpacingChar">
    <w:name w:val="No Spacing Char"/>
    <w:link w:val="11"/>
    <w:locked/>
    <w:rsid w:val="00D972DF"/>
    <w:rPr>
      <w:sz w:val="28"/>
    </w:rPr>
  </w:style>
  <w:style w:type="paragraph" w:customStyle="1" w:styleId="11">
    <w:name w:val="Без интервала1"/>
    <w:link w:val="NoSpacingChar"/>
    <w:rsid w:val="00D972DF"/>
    <w:pPr>
      <w:spacing w:after="0" w:line="360" w:lineRule="auto"/>
      <w:ind w:right="-51" w:firstLine="284"/>
      <w:jc w:val="both"/>
    </w:pPr>
    <w:rPr>
      <w:sz w:val="28"/>
    </w:rPr>
  </w:style>
  <w:style w:type="character" w:customStyle="1" w:styleId="10">
    <w:name w:val="Заголовок 1 Знак"/>
    <w:basedOn w:val="a0"/>
    <w:link w:val="1"/>
    <w:rsid w:val="00D972DF"/>
    <w:rPr>
      <w:rFonts w:ascii="Times New Roman" w:eastAsia="Times New Roman" w:hAnsi="Times New Roman" w:cs="Times New Roman"/>
      <w:sz w:val="28"/>
      <w:szCs w:val="20"/>
      <w:u w:val="single"/>
      <w:lang w:eastAsia="ru-RU"/>
    </w:rPr>
  </w:style>
  <w:style w:type="paragraph" w:styleId="aa">
    <w:name w:val="Body Text Indent"/>
    <w:basedOn w:val="a"/>
    <w:link w:val="ab"/>
    <w:semiHidden/>
    <w:unhideWhenUsed/>
    <w:rsid w:val="00D972DF"/>
    <w:pPr>
      <w:autoSpaceDE w:val="0"/>
      <w:autoSpaceDN w:val="0"/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b">
    <w:name w:val="Основной текст с отступом Знак"/>
    <w:basedOn w:val="a0"/>
    <w:link w:val="aa"/>
    <w:semiHidden/>
    <w:rsid w:val="00D972DF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Default">
    <w:name w:val="Default"/>
    <w:rsid w:val="00D972DF"/>
    <w:pPr>
      <w:suppressAutoHyphens/>
      <w:autoSpaceDE w:val="0"/>
      <w:spacing w:after="0" w:line="240" w:lineRule="auto"/>
    </w:pPr>
    <w:rPr>
      <w:rFonts w:ascii="Times New Roman" w:eastAsia="Arial" w:hAnsi="Times New Roman" w:cs="Times New Roman"/>
      <w:color w:val="000000"/>
      <w:sz w:val="24"/>
      <w:szCs w:val="24"/>
      <w:lang w:eastAsia="ar-SA"/>
    </w:rPr>
  </w:style>
  <w:style w:type="paragraph" w:styleId="ac">
    <w:name w:val="Normal (Web)"/>
    <w:basedOn w:val="a"/>
    <w:semiHidden/>
    <w:unhideWhenUsed/>
    <w:rsid w:val="00D972DF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85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49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86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83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445B5B-BAF1-4230-B258-19DB06A87D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397</TotalTime>
  <Pages>30</Pages>
  <Words>5542</Words>
  <Characters>31593</Characters>
  <Application>Microsoft Office Word</Application>
  <DocSecurity>0</DocSecurity>
  <Lines>263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mkrivov</cp:lastModifiedBy>
  <cp:revision>21</cp:revision>
  <dcterms:created xsi:type="dcterms:W3CDTF">2011-07-12T07:08:00Z</dcterms:created>
  <dcterms:modified xsi:type="dcterms:W3CDTF">2011-11-15T07:53:00Z</dcterms:modified>
</cp:coreProperties>
</file>